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3" w:name="_GoBack"/>
      <w:bookmarkEnd w:id="3"/>
    </w:p>
    <w:p/>
    <w:p>
      <w:pPr>
        <w:jc w:val="center"/>
      </w:pPr>
    </w:p>
    <w:p>
      <w:pPr>
        <w:jc w:val="center"/>
      </w:pPr>
    </w:p>
    <w:p>
      <w:pPr>
        <w:jc w:val="center"/>
        <w:rPr>
          <w:sz w:val="84"/>
          <w:szCs w:val="84"/>
        </w:rPr>
      </w:pPr>
      <w:r>
        <w:rPr>
          <w:sz w:val="84"/>
          <w:szCs w:val="84"/>
        </w:rPr>
        <w:fldChar w:fldCharType="begin"/>
      </w:r>
      <w:r>
        <w:rPr>
          <w:sz w:val="84"/>
          <w:szCs w:val="84"/>
        </w:rPr>
        <w:instrText xml:space="preserve"> </w:instrText>
      </w:r>
      <w:r>
        <w:rPr>
          <w:rFonts w:hint="eastAsia"/>
          <w:sz w:val="84"/>
          <w:szCs w:val="84"/>
        </w:rPr>
        <w:instrText xml:space="preserve">eq \o\ac(</w:instrText>
      </w:r>
      <w:r>
        <w:rPr>
          <w:rFonts w:hint="eastAsia" w:ascii="宋体"/>
          <w:position w:val="-16"/>
          <w:sz w:val="127"/>
          <w:szCs w:val="84"/>
        </w:rPr>
        <w:instrText xml:space="preserve">○</w:instrText>
      </w:r>
      <w:r>
        <w:rPr>
          <w:rFonts w:hint="eastAsia"/>
          <w:sz w:val="84"/>
          <w:szCs w:val="84"/>
        </w:rPr>
        <w:instrText xml:space="preserve">,P)</w:instrText>
      </w:r>
      <w:r>
        <w:rPr>
          <w:sz w:val="84"/>
          <w:szCs w:val="84"/>
        </w:rPr>
        <w:fldChar w:fldCharType="end"/>
      </w:r>
      <w:r>
        <w:rPr>
          <w:spacing w:val="-20"/>
          <w:sz w:val="84"/>
          <w:szCs w:val="84"/>
        </w:rPr>
        <w:t>能源统计报表制度</w:t>
      </w:r>
    </w:p>
    <w:p>
      <w:pPr>
        <w:spacing w:beforeLines="50"/>
        <w:jc w:val="center"/>
        <w:rPr>
          <w:rFonts w:eastAsia="楷体_GB2312"/>
          <w:sz w:val="32"/>
          <w:szCs w:val="32"/>
        </w:rPr>
      </w:pPr>
      <w:r>
        <w:rPr>
          <w:rFonts w:hint="eastAsia" w:eastAsia="楷体_GB2312"/>
          <w:sz w:val="32"/>
          <w:szCs w:val="32"/>
        </w:rPr>
        <w:t xml:space="preserve">  </w:t>
      </w:r>
      <w:r>
        <w:rPr>
          <w:rFonts w:eastAsia="楷体_GB2312"/>
          <w:sz w:val="32"/>
          <w:szCs w:val="32"/>
        </w:rPr>
        <w:t>（20</w:t>
      </w:r>
      <w:r>
        <w:rPr>
          <w:rFonts w:hint="eastAsia" w:eastAsia="楷体_GB2312"/>
          <w:sz w:val="32"/>
          <w:szCs w:val="32"/>
        </w:rPr>
        <w:t>20</w:t>
      </w:r>
      <w:r>
        <w:rPr>
          <w:rFonts w:eastAsia="楷体_GB2312"/>
          <w:sz w:val="32"/>
          <w:szCs w:val="32"/>
        </w:rPr>
        <w:t>年统计年报和202</w:t>
      </w:r>
      <w:r>
        <w:rPr>
          <w:rFonts w:hint="eastAsia" w:eastAsia="楷体_GB2312"/>
          <w:sz w:val="32"/>
          <w:szCs w:val="32"/>
        </w:rPr>
        <w:t>1</w:t>
      </w:r>
      <w:r>
        <w:rPr>
          <w:rFonts w:eastAsia="楷体_GB2312"/>
          <w:sz w:val="32"/>
          <w:szCs w:val="32"/>
        </w:rPr>
        <w:t>年定期统计报表）</w:t>
      </w: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snapToGrid w:val="0"/>
        <w:rPr>
          <w:rFonts w:eastAsia="楷体_GB2312"/>
        </w:rPr>
      </w:pPr>
    </w:p>
    <w:p>
      <w:pPr>
        <w:snapToGrid w:val="0"/>
        <w:spacing w:before="100" w:beforeAutospacing="1" w:after="100" w:afterAutospacing="1"/>
        <w:jc w:val="center"/>
        <w:rPr>
          <w:rFonts w:ascii="楷体" w:hAnsi="楷体" w:eastAsia="楷体"/>
          <w:sz w:val="32"/>
          <w:szCs w:val="32"/>
        </w:rPr>
      </w:pPr>
      <w:r>
        <w:rPr>
          <w:rFonts w:ascii="楷体" w:hAnsi="楷体" w:eastAsia="楷体"/>
          <w:sz w:val="32"/>
          <w:szCs w:val="32"/>
        </w:rPr>
        <w:t>中华人民共和国国家统计局制定</w:t>
      </w:r>
    </w:p>
    <w:p>
      <w:pPr>
        <w:snapToGrid w:val="0"/>
        <w:spacing w:before="100" w:beforeAutospacing="1" w:after="100" w:afterAutospacing="1"/>
        <w:jc w:val="center"/>
        <w:rPr>
          <w:rFonts w:ascii="楷体" w:hAnsi="楷体" w:eastAsia="楷体"/>
          <w:sz w:val="32"/>
          <w:szCs w:val="32"/>
        </w:rPr>
      </w:pPr>
      <w:r>
        <w:rPr>
          <w:rFonts w:hint="eastAsia" w:ascii="楷体_GB2312" w:hAnsi="楷体" w:eastAsia="楷体_GB2312"/>
          <w:sz w:val="32"/>
          <w:szCs w:val="32"/>
        </w:rPr>
        <w:t>福建省统计局印制</w:t>
      </w:r>
    </w:p>
    <w:p>
      <w:pPr>
        <w:snapToGrid w:val="0"/>
        <w:spacing w:before="100" w:beforeAutospacing="1" w:after="100" w:afterAutospacing="1"/>
        <w:jc w:val="center"/>
        <w:rPr>
          <w:rFonts w:ascii="楷体_GB2312" w:hAnsi="楷体" w:eastAsia="楷体_GB2312"/>
        </w:rPr>
      </w:pPr>
      <w:r>
        <w:rPr>
          <w:rFonts w:ascii="楷体_GB2312" w:hAnsi="楷体" w:eastAsia="楷体_GB2312"/>
          <w:sz w:val="32"/>
          <w:szCs w:val="32"/>
        </w:rPr>
        <w:t>2020年</w:t>
      </w:r>
      <w:r>
        <w:rPr>
          <w:rFonts w:ascii="楷体_GB2312" w:hAnsi="Times New Roman" w:eastAsia="楷体_GB2312"/>
          <w:sz w:val="32"/>
          <w:szCs w:val="32"/>
        </w:rPr>
        <w:t>11</w:t>
      </w:r>
      <w:r>
        <w:rPr>
          <w:rFonts w:ascii="楷体_GB2312" w:hAnsi="楷体" w:eastAsia="楷体_GB2312"/>
          <w:sz w:val="32"/>
          <w:szCs w:val="32"/>
        </w:rPr>
        <w:t>月</w:t>
      </w:r>
    </w:p>
    <w:p>
      <w:pPr>
        <w:spacing w:line="360" w:lineRule="exact"/>
        <w:jc w:val="center"/>
      </w:pPr>
    </w:p>
    <w:p>
      <w:pPr>
        <w:spacing w:line="360" w:lineRule="exact"/>
        <w:jc w:val="center"/>
        <w:rPr>
          <w:spacing w:val="-8"/>
          <w:sz w:val="32"/>
          <w:szCs w:val="32"/>
        </w:rPr>
      </w:pPr>
      <w:r>
        <w:rPr>
          <w:spacing w:val="-8"/>
          <w:sz w:val="32"/>
          <w:szCs w:val="32"/>
        </w:rPr>
        <w:t>本报表制度根据《中华人民共和国统计法》的有关规定制定</w:t>
      </w:r>
    </w:p>
    <w:p>
      <w:pPr>
        <w:spacing w:line="360" w:lineRule="exact"/>
        <w:jc w:val="center"/>
        <w:rPr>
          <w:spacing w:val="-8"/>
          <w:sz w:val="32"/>
          <w:szCs w:val="32"/>
        </w:rPr>
      </w:pPr>
    </w:p>
    <w:p>
      <w:pPr>
        <w:spacing w:line="360" w:lineRule="exact"/>
        <w:jc w:val="center"/>
        <w:rPr>
          <w:spacing w:val="-8"/>
          <w:sz w:val="28"/>
          <w:szCs w:val="32"/>
        </w:rPr>
      </w:pPr>
    </w:p>
    <w:p>
      <w:pPr>
        <w:spacing w:line="360" w:lineRule="exact"/>
        <w:ind w:firstLine="560" w:firstLineChars="200"/>
        <w:rPr>
          <w:rFonts w:eastAsia="仿宋_GB2312"/>
          <w:bCs/>
          <w:sz w:val="28"/>
        </w:rPr>
      </w:pPr>
    </w:p>
    <w:p>
      <w:pPr>
        <w:spacing w:line="408" w:lineRule="auto"/>
        <w:ind w:firstLine="560" w:firstLineChars="200"/>
        <w:rPr>
          <w:rFonts w:ascii="仿宋_GB2312" w:eastAsia="仿宋_GB2312"/>
          <w:bCs/>
          <w:sz w:val="28"/>
        </w:rPr>
      </w:pPr>
      <w:r>
        <w:rPr>
          <w:rFonts w:hint="eastAsia" w:ascii="仿宋_GB2312"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408" w:lineRule="auto"/>
        <w:ind w:firstLine="562" w:firstLineChars="200"/>
        <w:rPr>
          <w:rFonts w:ascii="仿宋_GB2312" w:eastAsia="仿宋_GB2312"/>
          <w:b/>
          <w:bCs/>
          <w:sz w:val="28"/>
        </w:rPr>
      </w:pPr>
    </w:p>
    <w:p>
      <w:pPr>
        <w:spacing w:line="408" w:lineRule="auto"/>
        <w:ind w:firstLine="560" w:firstLineChars="200"/>
        <w:rPr>
          <w:rFonts w:eastAsia="仿宋"/>
          <w:b/>
          <w:bCs/>
          <w:sz w:val="28"/>
        </w:rPr>
      </w:pPr>
      <w:r>
        <w:rPr>
          <w:rFonts w:hint="eastAsia" w:ascii="仿宋_GB2312" w:eastAsia="仿宋_GB2312"/>
          <w:bCs/>
          <w:sz w:val="28"/>
        </w:rPr>
        <w:t>《中华人民共和国统计法》第九条规定：统计机构和统计人员对在统计工作中知悉的国家秘密、商业秘密和个人信息，应当予以保密。</w:t>
      </w:r>
    </w:p>
    <w:p>
      <w:pPr>
        <w:spacing w:line="480" w:lineRule="exact"/>
        <w:ind w:firstLine="561"/>
        <w:rPr>
          <w:spacing w:val="-8"/>
          <w:sz w:val="28"/>
        </w:rPr>
      </w:pPr>
    </w:p>
    <w:p>
      <w:pPr>
        <w:spacing w:line="480" w:lineRule="exact"/>
        <w:ind w:firstLine="561"/>
        <w:rPr>
          <w:spacing w:val="-8"/>
          <w:sz w:val="28"/>
        </w:rPr>
      </w:pPr>
    </w:p>
    <w:p>
      <w:pPr>
        <w:spacing w:line="360" w:lineRule="exact"/>
        <w:rPr>
          <w:spacing w:val="-8"/>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rPr>
          <w:b/>
          <w:sz w:val="28"/>
        </w:rPr>
      </w:pPr>
      <w:r>
        <w:rPr>
          <w:sz w:val="28"/>
        </w:rPr>
        <w:t>本制度由</w:t>
      </w:r>
      <w:r>
        <w:rPr>
          <w:rFonts w:hint="eastAsia"/>
          <w:sz w:val="28"/>
        </w:rPr>
        <w:t>福建省</w:t>
      </w:r>
      <w:r>
        <w:rPr>
          <w:sz w:val="28"/>
        </w:rPr>
        <w:t>统计局负责解释</w:t>
      </w:r>
      <w:r>
        <w:rPr>
          <w:b/>
          <w:sz w:val="28"/>
        </w:rPr>
        <w:t>。</w:t>
      </w:r>
    </w:p>
    <w:p>
      <w:pPr>
        <w:pStyle w:val="2"/>
        <w:snapToGrid w:val="0"/>
        <w:spacing w:before="0" w:afterLines="200" w:line="240" w:lineRule="auto"/>
        <w:jc w:val="center"/>
        <w:rPr>
          <w:rFonts w:eastAsia="黑体"/>
          <w:b w:val="0"/>
          <w:sz w:val="32"/>
          <w:szCs w:val="32"/>
        </w:rPr>
        <w:sectPr>
          <w:headerReference r:id="rId4" w:type="default"/>
          <w:pgSz w:w="11906" w:h="16838"/>
          <w:pgMar w:top="1417" w:right="1247" w:bottom="1247" w:left="1247" w:header="850" w:footer="992" w:gutter="0"/>
          <w:pgNumType w:fmt="numberInDash" w:start="1"/>
          <w:cols w:space="720" w:num="1"/>
          <w:docGrid w:linePitch="286" w:charSpace="0"/>
        </w:sectPr>
      </w:pPr>
    </w:p>
    <w:p>
      <w:pPr>
        <w:pStyle w:val="2"/>
        <w:snapToGrid w:val="0"/>
        <w:spacing w:before="0" w:afterLines="200" w:line="240" w:lineRule="auto"/>
        <w:jc w:val="center"/>
        <w:rPr>
          <w:sz w:val="32"/>
          <w:szCs w:val="32"/>
        </w:rPr>
      </w:pPr>
      <w:r>
        <w:rPr>
          <w:rFonts w:eastAsia="黑体"/>
          <w:b w:val="0"/>
          <w:sz w:val="32"/>
          <w:szCs w:val="32"/>
        </w:rPr>
        <w:t>目    录</w:t>
      </w:r>
    </w:p>
    <w:p>
      <w:pPr>
        <w:tabs>
          <w:tab w:val="right" w:leader="middleDot" w:pos="9030"/>
        </w:tabs>
        <w:spacing w:line="400" w:lineRule="exact"/>
        <w:jc w:val="distribute"/>
        <w:rPr>
          <w:rFonts w:ascii="宋体" w:hAnsi="宋体" w:cs="宋体"/>
          <w:kern w:val="0"/>
        </w:rPr>
      </w:pPr>
      <w:r>
        <w:rPr>
          <w:rFonts w:hint="eastAsia" w:ascii="宋体" w:hAnsi="宋体" w:cs="宋体"/>
          <w:kern w:val="0"/>
        </w:rPr>
        <w:t>一、总说明</w:t>
      </w:r>
      <w:r>
        <w:rPr>
          <w:rFonts w:hint="eastAsia" w:ascii="宋体" w:hAnsi="宋体" w:cs="宋体"/>
          <w:kern w:val="0"/>
        </w:rPr>
        <w:t>………………………………………………………………………………………………………</w:t>
      </w:r>
      <w:r>
        <w:rPr>
          <w:rFonts w:ascii="宋体" w:hAnsi="宋体" w:cs="宋体"/>
          <w:kern w:val="0"/>
        </w:rPr>
        <w:t>3</w:t>
      </w:r>
    </w:p>
    <w:p>
      <w:pPr>
        <w:tabs>
          <w:tab w:val="right" w:leader="middleDot" w:pos="9030"/>
        </w:tabs>
        <w:spacing w:line="400" w:lineRule="exact"/>
        <w:jc w:val="distribute"/>
        <w:rPr>
          <w:rFonts w:ascii="宋体" w:hAnsi="宋体" w:cs="宋体"/>
        </w:rPr>
      </w:pPr>
      <w:r>
        <w:rPr>
          <w:rFonts w:hint="eastAsia" w:ascii="宋体" w:hAnsi="宋体" w:cs="宋体"/>
        </w:rPr>
        <w:t>二、报表目录</w:t>
      </w:r>
      <w:r>
        <w:rPr>
          <w:rFonts w:hint="eastAsia" w:ascii="宋体" w:hAnsi="宋体" w:cs="宋体"/>
          <w:kern w:val="0"/>
        </w:rPr>
        <w:t>……………………………………………………………………………………………………</w:t>
      </w:r>
      <w:r>
        <w:rPr>
          <w:rFonts w:ascii="宋体" w:hAnsi="宋体" w:cs="宋体"/>
        </w:rPr>
        <w:t>4</w:t>
      </w:r>
    </w:p>
    <w:p>
      <w:pPr>
        <w:tabs>
          <w:tab w:val="right" w:leader="middleDot" w:pos="9030"/>
        </w:tabs>
        <w:spacing w:line="400" w:lineRule="exact"/>
        <w:jc w:val="distribute"/>
        <w:rPr>
          <w:rFonts w:ascii="宋体" w:hAnsi="宋体" w:cs="宋体"/>
        </w:rPr>
      </w:pPr>
      <w:r>
        <w:rPr>
          <w:rFonts w:hint="eastAsia" w:ascii="宋体" w:hAnsi="宋体" w:cs="宋体"/>
        </w:rPr>
        <w:t>三、调查表式</w:t>
      </w:r>
      <w:r>
        <w:rPr>
          <w:rFonts w:hint="eastAsia" w:ascii="宋体" w:hAnsi="宋体" w:cs="宋体"/>
          <w:kern w:val="0"/>
        </w:rPr>
        <w:t>……………………………………………………………………………………………………</w:t>
      </w:r>
      <w:r>
        <w:rPr>
          <w:rFonts w:ascii="宋体" w:hAnsi="宋体" w:cs="宋体"/>
        </w:rPr>
        <w:t>6</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（一）基层年报表式</w:t>
      </w:r>
      <w:r>
        <w:rPr>
          <w:rFonts w:hint="eastAsia" w:ascii="宋体" w:hAnsi="宋体" w:cs="宋体"/>
          <w:kern w:val="0"/>
        </w:rPr>
        <w:t>…………………………………………………………………………………………</w:t>
      </w:r>
      <w:r>
        <w:rPr>
          <w:rFonts w:ascii="宋体" w:hAnsi="宋体" w:cs="宋体"/>
        </w:rPr>
        <w:t>6</w:t>
      </w:r>
    </w:p>
    <w:p>
      <w:pPr>
        <w:tabs>
          <w:tab w:val="right" w:leader="middleDot" w:pos="9030"/>
        </w:tabs>
        <w:spacing w:line="400" w:lineRule="exact"/>
        <w:ind w:firstLine="798" w:firstLineChars="380"/>
        <w:jc w:val="distribute"/>
        <w:rPr>
          <w:rFonts w:ascii="宋体" w:hAnsi="宋体" w:cs="宋体"/>
        </w:rPr>
      </w:pPr>
      <w:r>
        <w:rPr>
          <w:rFonts w:hint="eastAsia" w:ascii="宋体" w:hAnsi="宋体" w:cs="宋体"/>
        </w:rPr>
        <w:t>1.四下企业主要能源产品产量（P106表）</w:t>
      </w:r>
      <w:r>
        <w:rPr>
          <w:rFonts w:hint="eastAsia" w:ascii="宋体" w:hAnsi="宋体" w:cs="宋体"/>
          <w:kern w:val="0"/>
        </w:rPr>
        <w:t>…………………………………………………………</w:t>
      </w:r>
      <w:r>
        <w:rPr>
          <w:rFonts w:ascii="宋体" w:hAnsi="宋体" w:cs="宋体"/>
        </w:rPr>
        <w:t>6</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（二）基层定报表式</w:t>
      </w:r>
      <w:r>
        <w:rPr>
          <w:rFonts w:hint="eastAsia" w:ascii="宋体" w:hAnsi="宋体" w:cs="宋体"/>
          <w:kern w:val="0"/>
        </w:rPr>
        <w:t>…………………………………………………………………………………………</w:t>
      </w:r>
      <w:r>
        <w:rPr>
          <w:rFonts w:ascii="宋体" w:hAnsi="宋体" w:cs="宋体"/>
        </w:rPr>
        <w:t>7</w:t>
      </w:r>
    </w:p>
    <w:p>
      <w:pPr>
        <w:tabs>
          <w:tab w:val="right" w:leader="middleDot" w:pos="9030"/>
        </w:tabs>
        <w:spacing w:line="400" w:lineRule="exact"/>
        <w:ind w:firstLine="798" w:firstLineChars="380"/>
        <w:jc w:val="distribute"/>
        <w:rPr>
          <w:rFonts w:ascii="宋体" w:hAnsi="宋体" w:cs="宋体"/>
        </w:rPr>
      </w:pPr>
      <w:r>
        <w:rPr>
          <w:rFonts w:hint="eastAsia" w:ascii="宋体" w:hAnsi="宋体" w:cs="宋体"/>
        </w:rPr>
        <w:t>1.能源购进、消费与库存（205-1表）</w:t>
      </w:r>
      <w:r>
        <w:rPr>
          <w:rFonts w:hint="eastAsia" w:ascii="宋体" w:hAnsi="宋体" w:cs="宋体"/>
          <w:kern w:val="0"/>
        </w:rPr>
        <w:t>………………………………………………………………</w:t>
      </w:r>
      <w:r>
        <w:rPr>
          <w:rFonts w:ascii="宋体" w:hAnsi="宋体" w:cs="宋体"/>
        </w:rPr>
        <w:t>7</w:t>
      </w:r>
    </w:p>
    <w:p>
      <w:pPr>
        <w:tabs>
          <w:tab w:val="right" w:leader="middleDot" w:pos="9030"/>
        </w:tabs>
        <w:spacing w:line="400" w:lineRule="exact"/>
        <w:ind w:firstLine="798" w:firstLineChars="380"/>
        <w:jc w:val="distribute"/>
        <w:rPr>
          <w:rFonts w:ascii="宋体" w:hAnsi="宋体" w:cs="宋体"/>
        </w:rPr>
      </w:pPr>
      <w:r>
        <w:rPr>
          <w:rFonts w:hint="eastAsia" w:ascii="宋体" w:hAnsi="宋体" w:cs="宋体"/>
        </w:rPr>
        <w:t>2.能源加工转换与回收利用（205-2表）</w:t>
      </w:r>
      <w:r>
        <w:rPr>
          <w:rFonts w:hint="eastAsia" w:ascii="宋体" w:hAnsi="宋体" w:cs="宋体"/>
          <w:kern w:val="0"/>
        </w:rPr>
        <w:t>……………………………………………………………</w:t>
      </w:r>
      <w:r>
        <w:rPr>
          <w:rFonts w:ascii="宋体" w:hAnsi="宋体" w:cs="宋体"/>
        </w:rPr>
        <w:t>8</w:t>
      </w:r>
    </w:p>
    <w:p>
      <w:pPr>
        <w:tabs>
          <w:tab w:val="right" w:leader="middleDot" w:pos="9030"/>
        </w:tabs>
        <w:spacing w:line="400" w:lineRule="exact"/>
        <w:ind w:firstLine="798" w:firstLineChars="380"/>
        <w:jc w:val="distribute"/>
        <w:rPr>
          <w:rFonts w:ascii="宋体" w:hAnsi="宋体" w:cs="宋体"/>
        </w:rPr>
      </w:pPr>
      <w:r>
        <w:rPr>
          <w:rFonts w:hint="eastAsia" w:ascii="宋体" w:hAnsi="宋体" w:cs="宋体"/>
        </w:rPr>
        <w:t>3.主要耗能工业企业单位产品</w:t>
      </w:r>
      <w:r>
        <w:rPr>
          <w:rFonts w:hint="eastAsia" w:ascii="宋体" w:hAnsi="宋体" w:cs="宋体"/>
        </w:rPr>
        <w:t>能源消费</w:t>
      </w:r>
      <w:r>
        <w:rPr>
          <w:rFonts w:hint="eastAsia" w:ascii="宋体" w:hAnsi="宋体" w:cs="宋体"/>
        </w:rPr>
        <w:t>情况（205-3表）</w:t>
      </w:r>
      <w:r>
        <w:rPr>
          <w:rFonts w:hint="eastAsia" w:ascii="宋体" w:hAnsi="宋体" w:cs="宋体"/>
          <w:kern w:val="0"/>
        </w:rPr>
        <w:t>…………………………………………</w:t>
      </w:r>
      <w:r>
        <w:rPr>
          <w:rFonts w:ascii="宋体" w:hAnsi="宋体" w:cs="宋体"/>
        </w:rPr>
        <w:t>9</w:t>
      </w:r>
    </w:p>
    <w:p>
      <w:pPr>
        <w:tabs>
          <w:tab w:val="right" w:leader="middleDot" w:pos="9030"/>
        </w:tabs>
        <w:spacing w:line="400" w:lineRule="exact"/>
        <w:ind w:firstLine="798" w:firstLineChars="380"/>
        <w:jc w:val="distribute"/>
        <w:rPr>
          <w:rFonts w:ascii="宋体" w:hAnsi="宋体" w:cs="宋体"/>
        </w:rPr>
      </w:pPr>
      <w:r>
        <w:rPr>
          <w:rFonts w:hint="eastAsia" w:ascii="宋体" w:hAnsi="宋体" w:cs="宋体"/>
        </w:rPr>
        <w:t>4.工业企业用水情况（205-4表）</w:t>
      </w:r>
      <w:r>
        <w:rPr>
          <w:rFonts w:hint="eastAsia" w:ascii="宋体" w:hAnsi="宋体" w:cs="宋体"/>
          <w:kern w:val="0"/>
        </w:rPr>
        <w:t>…………………………………………………………………</w:t>
      </w:r>
      <w:r>
        <w:rPr>
          <w:rFonts w:ascii="宋体" w:hAnsi="宋体" w:cs="宋体"/>
        </w:rPr>
        <w:t>10</w:t>
      </w:r>
    </w:p>
    <w:p>
      <w:pPr>
        <w:tabs>
          <w:tab w:val="right" w:leader="middleDot" w:pos="9030"/>
        </w:tabs>
        <w:spacing w:line="400" w:lineRule="exact"/>
        <w:ind w:firstLine="798" w:firstLineChars="380"/>
        <w:jc w:val="distribute"/>
        <w:rPr>
          <w:rFonts w:ascii="宋体" w:hAnsi="宋体" w:cs="宋体"/>
        </w:rPr>
      </w:pPr>
      <w:r>
        <w:rPr>
          <w:rFonts w:hint="eastAsia" w:ascii="宋体" w:hAnsi="宋体" w:cs="宋体"/>
        </w:rPr>
        <w:t>5.非工业重点耗能单位能源消费情况（205-5表）</w:t>
      </w:r>
      <w:r>
        <w:rPr>
          <w:rFonts w:hint="eastAsia" w:ascii="宋体" w:hAnsi="宋体" w:cs="宋体"/>
          <w:kern w:val="0"/>
        </w:rPr>
        <w:t>………………………………………………</w:t>
      </w:r>
      <w:r>
        <w:rPr>
          <w:rFonts w:ascii="宋体" w:hAnsi="宋体" w:cs="宋体"/>
        </w:rPr>
        <w:t>11</w:t>
      </w:r>
    </w:p>
    <w:p>
      <w:pPr>
        <w:tabs>
          <w:tab w:val="right" w:leader="middleDot" w:pos="9030"/>
        </w:tabs>
        <w:spacing w:line="400" w:lineRule="exact"/>
        <w:ind w:firstLine="798" w:firstLineChars="380"/>
        <w:jc w:val="distribute"/>
        <w:rPr>
          <w:rFonts w:ascii="宋体" w:hAnsi="宋体" w:cs="宋体"/>
        </w:rPr>
      </w:pPr>
      <w:r>
        <w:rPr>
          <w:rFonts w:hint="eastAsia" w:ascii="宋体" w:hAnsi="宋体" w:cs="宋体"/>
        </w:rPr>
        <w:t>6.能源生产、销售与库存（205-6表）</w:t>
      </w:r>
      <w:r>
        <w:rPr>
          <w:rFonts w:hint="eastAsia" w:ascii="宋体" w:hAnsi="宋体" w:cs="宋体"/>
          <w:kern w:val="0"/>
        </w:rPr>
        <w:t>……………………………………………………………</w:t>
      </w:r>
      <w:r>
        <w:rPr>
          <w:rFonts w:ascii="宋体" w:hAnsi="宋体" w:cs="宋体"/>
        </w:rPr>
        <w:t>12</w:t>
      </w:r>
    </w:p>
    <w:p>
      <w:pPr>
        <w:tabs>
          <w:tab w:val="right" w:leader="middleDot" w:pos="9030"/>
        </w:tabs>
        <w:spacing w:line="400" w:lineRule="exact"/>
        <w:ind w:firstLine="798" w:firstLineChars="380"/>
        <w:jc w:val="distribute"/>
        <w:rPr>
          <w:rFonts w:ascii="宋体" w:hAnsi="宋体" w:cs="宋体"/>
        </w:rPr>
      </w:pPr>
      <w:r>
        <w:rPr>
          <w:rFonts w:hint="eastAsia" w:ascii="宋体" w:hAnsi="宋体" w:cs="宋体"/>
        </w:rPr>
        <w:t>7.重点能源商品经销情况（205-7表）</w:t>
      </w:r>
      <w:r>
        <w:rPr>
          <w:rFonts w:hint="eastAsia" w:ascii="宋体" w:hAnsi="宋体" w:cs="宋体"/>
          <w:kern w:val="0"/>
        </w:rPr>
        <w:t>……………………………………………………………</w:t>
      </w:r>
      <w:r>
        <w:rPr>
          <w:rFonts w:ascii="宋体" w:hAnsi="宋体" w:cs="宋体"/>
        </w:rPr>
        <w:t>13</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（三）综合年报表式</w:t>
      </w:r>
      <w:r>
        <w:rPr>
          <w:rFonts w:hint="eastAsia" w:ascii="宋体" w:hAnsi="宋体" w:cs="宋体"/>
          <w:kern w:val="0"/>
        </w:rPr>
        <w:t>…………………………………………………………………………………………</w:t>
      </w:r>
      <w:r>
        <w:rPr>
          <w:rFonts w:ascii="宋体" w:hAnsi="宋体" w:cs="宋体"/>
        </w:rPr>
        <w:t>14</w:t>
      </w:r>
    </w:p>
    <w:p>
      <w:pPr>
        <w:tabs>
          <w:tab w:val="right" w:leader="middleDot" w:pos="9030"/>
        </w:tabs>
        <w:spacing w:line="400" w:lineRule="exact"/>
        <w:ind w:firstLine="798" w:firstLineChars="380"/>
        <w:jc w:val="distribute"/>
        <w:rPr>
          <w:rFonts w:ascii="宋体" w:hAnsi="宋体" w:cs="宋体"/>
        </w:rPr>
      </w:pPr>
      <w:r>
        <w:rPr>
          <w:rFonts w:hint="eastAsia" w:ascii="宋体" w:hAnsi="宋体" w:cs="宋体"/>
        </w:rPr>
        <w:t>1.能源平衡表（实物量）（P303-1表）</w:t>
      </w:r>
      <w:r>
        <w:rPr>
          <w:rFonts w:hint="eastAsia" w:ascii="宋体" w:hAnsi="宋体" w:cs="宋体"/>
          <w:kern w:val="0"/>
        </w:rPr>
        <w:t>……………………………………………………………</w:t>
      </w:r>
      <w:r>
        <w:rPr>
          <w:rFonts w:ascii="宋体" w:hAnsi="宋体" w:cs="宋体"/>
        </w:rPr>
        <w:t>14</w:t>
      </w:r>
    </w:p>
    <w:p>
      <w:pPr>
        <w:tabs>
          <w:tab w:val="right" w:leader="middleDot" w:pos="9030"/>
        </w:tabs>
        <w:spacing w:line="400" w:lineRule="exact"/>
        <w:ind w:firstLine="798" w:firstLineChars="380"/>
        <w:jc w:val="distribute"/>
        <w:rPr>
          <w:rFonts w:ascii="宋体" w:hAnsi="宋体" w:cs="宋体"/>
        </w:rPr>
      </w:pPr>
      <w:r>
        <w:rPr>
          <w:rFonts w:ascii="宋体" w:hAnsi="宋体" w:cs="宋体"/>
        </w:rPr>
        <w:t>2</w:t>
      </w:r>
      <w:r>
        <w:rPr>
          <w:rFonts w:hint="eastAsia" w:ascii="宋体" w:hAnsi="宋体" w:cs="宋体"/>
        </w:rPr>
        <w:t>.能源平衡表（标准量）（P303-4表）</w:t>
      </w:r>
      <w:r>
        <w:rPr>
          <w:rFonts w:hint="eastAsia" w:ascii="宋体" w:hAnsi="宋体" w:cs="宋体"/>
          <w:kern w:val="0"/>
        </w:rPr>
        <w:t>……………………………………………………………</w:t>
      </w:r>
      <w:r>
        <w:rPr>
          <w:rFonts w:ascii="宋体" w:hAnsi="宋体" w:cs="宋体"/>
        </w:rPr>
        <w:t>16</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（四）综合定报表式</w:t>
      </w:r>
      <w:r>
        <w:rPr>
          <w:rFonts w:hint="eastAsia" w:ascii="宋体" w:hAnsi="宋体" w:cs="宋体"/>
          <w:kern w:val="0"/>
        </w:rPr>
        <w:t>…………………………………………………………………………………………</w:t>
      </w:r>
      <w:r>
        <w:rPr>
          <w:rFonts w:ascii="宋体" w:hAnsi="宋体" w:cs="宋体"/>
        </w:rPr>
        <w:t>17</w:t>
      </w:r>
    </w:p>
    <w:p>
      <w:pPr>
        <w:tabs>
          <w:tab w:val="right" w:leader="middleDot" w:pos="9030"/>
        </w:tabs>
        <w:spacing w:line="400" w:lineRule="exact"/>
        <w:ind w:firstLine="798" w:firstLineChars="380"/>
        <w:jc w:val="distribute"/>
        <w:rPr>
          <w:rFonts w:ascii="宋体" w:hAnsi="宋体" w:cs="宋体"/>
        </w:rPr>
      </w:pPr>
      <w:r>
        <w:rPr>
          <w:rFonts w:ascii="宋体" w:hAnsi="宋体" w:cs="宋体"/>
        </w:rPr>
        <w:t>1</w:t>
      </w:r>
      <w:r>
        <w:rPr>
          <w:rFonts w:hint="eastAsia" w:ascii="宋体" w:hAnsi="宋体" w:cs="宋体"/>
        </w:rPr>
        <w:t>.地区能源消费与单位GDP能耗（P406表）</w:t>
      </w:r>
      <w:r>
        <w:rPr>
          <w:rFonts w:hint="eastAsia" w:ascii="宋体" w:hAnsi="宋体" w:cs="宋体"/>
          <w:kern w:val="0"/>
        </w:rPr>
        <w:t>………………………………………………………</w:t>
      </w:r>
      <w:r>
        <w:rPr>
          <w:rFonts w:ascii="宋体" w:hAnsi="宋体" w:cs="宋体"/>
        </w:rPr>
        <w:t>17</w:t>
      </w:r>
    </w:p>
    <w:p>
      <w:pPr>
        <w:tabs>
          <w:tab w:val="right" w:leader="middleDot" w:pos="9030"/>
        </w:tabs>
        <w:spacing w:line="400" w:lineRule="exact"/>
        <w:ind w:firstLine="798" w:firstLineChars="380"/>
        <w:jc w:val="distribute"/>
        <w:rPr>
          <w:rFonts w:ascii="宋体" w:hAnsi="宋体" w:cs="宋体"/>
        </w:rPr>
      </w:pPr>
      <w:r>
        <w:rPr>
          <w:rFonts w:ascii="宋体" w:hAnsi="宋体" w:cs="宋体"/>
        </w:rPr>
        <w:t>2</w:t>
      </w:r>
      <w:r>
        <w:rPr>
          <w:rFonts w:hint="eastAsia" w:ascii="宋体" w:hAnsi="宋体" w:cs="宋体"/>
        </w:rPr>
        <w:t>.全社会用电量情况（P407表）</w:t>
      </w:r>
      <w:r>
        <w:rPr>
          <w:rFonts w:hint="eastAsia" w:ascii="宋体" w:hAnsi="宋体" w:cs="宋体"/>
          <w:kern w:val="0"/>
        </w:rPr>
        <w:t>……………………………………………………………………</w:t>
      </w:r>
      <w:r>
        <w:rPr>
          <w:rFonts w:ascii="宋体" w:hAnsi="宋体" w:cs="宋体"/>
        </w:rPr>
        <w:t>17</w:t>
      </w:r>
    </w:p>
    <w:p>
      <w:pPr>
        <w:tabs>
          <w:tab w:val="right" w:leader="middleDot" w:pos="9030"/>
        </w:tabs>
        <w:spacing w:line="400" w:lineRule="exact"/>
        <w:jc w:val="distribute"/>
        <w:rPr>
          <w:rFonts w:ascii="宋体" w:hAnsi="宋体" w:cs="宋体"/>
        </w:rPr>
      </w:pPr>
      <w:r>
        <w:rPr>
          <w:rFonts w:hint="eastAsia" w:ascii="宋体" w:hAnsi="宋体" w:cs="宋体"/>
        </w:rPr>
        <w:t>四、填报目录</w:t>
      </w:r>
      <w:r>
        <w:rPr>
          <w:rFonts w:hint="eastAsia" w:ascii="宋体" w:hAnsi="宋体" w:cs="宋体"/>
          <w:kern w:val="0"/>
        </w:rPr>
        <w:t>…………………………………………………………………………………………………</w:t>
      </w:r>
      <w:r>
        <w:rPr>
          <w:rFonts w:ascii="宋体" w:hAnsi="宋体" w:cs="宋体"/>
        </w:rPr>
        <w:t>18</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（一）能源购进、消费与库存和能源加工转换与回收利用目录（205-1表、205-2表）</w:t>
      </w:r>
      <w:r>
        <w:rPr>
          <w:rFonts w:hint="eastAsia" w:ascii="宋体" w:hAnsi="宋体" w:cs="宋体"/>
          <w:kern w:val="0"/>
        </w:rPr>
        <w:t>……………</w:t>
      </w:r>
      <w:r>
        <w:rPr>
          <w:rFonts w:ascii="宋体" w:hAnsi="宋体" w:cs="宋体"/>
        </w:rPr>
        <w:t>18</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（二）主要耗能工业企业单位产品能源</w:t>
      </w:r>
      <w:r>
        <w:rPr>
          <w:rFonts w:hint="eastAsia" w:ascii="宋体" w:hAnsi="宋体" w:cs="宋体"/>
        </w:rPr>
        <w:t>消费</w:t>
      </w:r>
      <w:r>
        <w:rPr>
          <w:rFonts w:hint="eastAsia" w:ascii="宋体" w:hAnsi="宋体" w:cs="宋体"/>
        </w:rPr>
        <w:t>情况目录（205-3表）</w:t>
      </w:r>
      <w:r>
        <w:rPr>
          <w:rFonts w:hint="eastAsia" w:ascii="宋体" w:hAnsi="宋体" w:cs="宋体"/>
          <w:kern w:val="0"/>
        </w:rPr>
        <w:t>……………………………………</w:t>
      </w:r>
      <w:r>
        <w:rPr>
          <w:rFonts w:ascii="宋体" w:hAnsi="宋体" w:cs="宋体"/>
        </w:rPr>
        <w:t>21</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（三）能源生产、销售与库存目录（205-6表）</w:t>
      </w:r>
      <w:r>
        <w:rPr>
          <w:rFonts w:hint="eastAsia" w:ascii="宋体" w:hAnsi="宋体" w:cs="宋体"/>
          <w:kern w:val="0"/>
        </w:rPr>
        <w:t>…………………………………………………………</w:t>
      </w:r>
      <w:r>
        <w:rPr>
          <w:rFonts w:ascii="宋体" w:hAnsi="宋体" w:cs="宋体"/>
        </w:rPr>
        <w:t>26</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w:t>
      </w:r>
      <w:r>
        <w:rPr>
          <w:rFonts w:hint="eastAsia" w:ascii="宋体" w:hAnsi="宋体" w:cs="宋体"/>
        </w:rPr>
        <w:t>四</w:t>
      </w:r>
      <w:r>
        <w:rPr>
          <w:rFonts w:hint="eastAsia" w:ascii="宋体" w:hAnsi="宋体" w:cs="宋体"/>
        </w:rPr>
        <w:t>）全社会用电量情况目录（P407表）</w:t>
      </w:r>
      <w:r>
        <w:rPr>
          <w:rFonts w:hint="eastAsia" w:ascii="宋体" w:hAnsi="宋体" w:cs="宋体"/>
          <w:kern w:val="0"/>
        </w:rPr>
        <w:t>…………………………………………………………………</w:t>
      </w:r>
      <w:r>
        <w:rPr>
          <w:rFonts w:ascii="宋体" w:hAnsi="宋体" w:cs="宋体"/>
        </w:rPr>
        <w:t>27</w:t>
      </w:r>
    </w:p>
    <w:p>
      <w:pPr>
        <w:tabs>
          <w:tab w:val="right" w:leader="middleDot" w:pos="9030"/>
        </w:tabs>
        <w:spacing w:line="400" w:lineRule="exact"/>
        <w:jc w:val="distribute"/>
        <w:rPr>
          <w:rFonts w:ascii="宋体" w:hAnsi="宋体" w:cs="宋体"/>
        </w:rPr>
      </w:pPr>
      <w:r>
        <w:rPr>
          <w:rFonts w:hint="eastAsia" w:ascii="宋体" w:hAnsi="宋体" w:cs="宋体"/>
        </w:rPr>
        <w:t>五、主要指标解释</w:t>
      </w:r>
      <w:r>
        <w:rPr>
          <w:rFonts w:hint="eastAsia" w:ascii="宋体" w:hAnsi="宋体" w:cs="宋体"/>
          <w:kern w:val="0"/>
        </w:rPr>
        <w:t>……………………………………………………………………………………………</w:t>
      </w:r>
      <w:r>
        <w:rPr>
          <w:rFonts w:ascii="宋体" w:hAnsi="宋体" w:cs="宋体"/>
        </w:rPr>
        <w:t>28</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（一）能源购进、消费与库存（205-1表）</w:t>
      </w:r>
      <w:r>
        <w:rPr>
          <w:rFonts w:hint="eastAsia" w:ascii="宋体" w:hAnsi="宋体" w:cs="宋体"/>
          <w:kern w:val="0"/>
        </w:rPr>
        <w:t>………………………………………………………………</w:t>
      </w:r>
      <w:r>
        <w:rPr>
          <w:rFonts w:ascii="宋体" w:hAnsi="宋体" w:cs="宋体"/>
        </w:rPr>
        <w:t>28</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（二）能源加工转换与回收利用（205-2表）</w:t>
      </w:r>
      <w:r>
        <w:rPr>
          <w:rFonts w:hint="eastAsia" w:ascii="宋体" w:hAnsi="宋体" w:cs="宋体"/>
          <w:kern w:val="0"/>
        </w:rPr>
        <w:t>……………………………………………………………</w:t>
      </w:r>
      <w:r>
        <w:rPr>
          <w:rFonts w:ascii="宋体" w:hAnsi="宋体" w:cs="宋体"/>
        </w:rPr>
        <w:t>31</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（三）主要耗能工业企业单位产品能源</w:t>
      </w:r>
      <w:r>
        <w:rPr>
          <w:rFonts w:hint="eastAsia" w:ascii="宋体" w:hAnsi="宋体" w:cs="宋体"/>
        </w:rPr>
        <w:t>消费</w:t>
      </w:r>
      <w:r>
        <w:rPr>
          <w:rFonts w:hint="eastAsia" w:ascii="宋体" w:hAnsi="宋体" w:cs="宋体"/>
        </w:rPr>
        <w:t>情况（205-3表）</w:t>
      </w:r>
      <w:r>
        <w:rPr>
          <w:rFonts w:hint="eastAsia" w:ascii="宋体" w:hAnsi="宋体" w:cs="宋体"/>
          <w:kern w:val="0"/>
        </w:rPr>
        <w:t>…………………………………………</w:t>
      </w:r>
      <w:r>
        <w:rPr>
          <w:rFonts w:ascii="宋体" w:hAnsi="宋体" w:cs="宋体"/>
        </w:rPr>
        <w:t>32</w:t>
      </w:r>
    </w:p>
    <w:p>
      <w:pPr>
        <w:tabs>
          <w:tab w:val="right" w:leader="middleDot" w:pos="9030"/>
        </w:tabs>
        <w:spacing w:line="400" w:lineRule="exact"/>
        <w:ind w:left="181" w:leftChars="86"/>
        <w:jc w:val="distribute"/>
        <w:rPr>
          <w:rFonts w:ascii="宋体" w:hAnsi="宋体" w:cs="宋体"/>
        </w:rPr>
      </w:pPr>
      <w:r>
        <w:rPr>
          <w:rFonts w:hint="eastAsia" w:ascii="宋体" w:hAnsi="宋体" w:cs="宋体"/>
        </w:rPr>
        <w:t>（四）工业企业用水情况（205-4表）</w:t>
      </w:r>
      <w:r>
        <w:rPr>
          <w:rFonts w:hint="eastAsia" w:ascii="宋体" w:hAnsi="宋体" w:cs="宋体"/>
          <w:kern w:val="0"/>
        </w:rPr>
        <w:t>……………………………………………………………………</w:t>
      </w:r>
      <w:r>
        <w:rPr>
          <w:rFonts w:ascii="宋体" w:hAnsi="宋体" w:cs="宋体"/>
        </w:rPr>
        <w:t>55</w:t>
      </w:r>
    </w:p>
    <w:p>
      <w:pPr>
        <w:tabs>
          <w:tab w:val="right" w:leader="middleDot" w:pos="9030"/>
        </w:tabs>
        <w:spacing w:line="400" w:lineRule="exact"/>
        <w:ind w:left="181" w:leftChars="86"/>
        <w:jc w:val="distribute"/>
        <w:rPr>
          <w:rFonts w:ascii="宋体" w:hAnsi="宋体" w:cs="宋体"/>
        </w:rPr>
      </w:pPr>
      <w:r>
        <w:rPr>
          <w:rFonts w:hint="eastAsia" w:ascii="宋体" w:hAnsi="宋体" w:cs="宋体"/>
        </w:rPr>
        <w:t>（五）非工业重点耗能单位能源消费情况（205-5表）</w:t>
      </w:r>
      <w:r>
        <w:rPr>
          <w:rFonts w:hint="eastAsia" w:ascii="宋体" w:hAnsi="宋体" w:cs="宋体"/>
          <w:kern w:val="0"/>
        </w:rPr>
        <w:t>…………………………………………………</w:t>
      </w:r>
      <w:r>
        <w:rPr>
          <w:rFonts w:ascii="宋体" w:hAnsi="宋体" w:cs="宋体"/>
        </w:rPr>
        <w:t>57</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（六）能源生产、销售与库存（205-6表）</w:t>
      </w:r>
      <w:r>
        <w:rPr>
          <w:rFonts w:hint="eastAsia" w:ascii="宋体" w:hAnsi="宋体" w:cs="宋体"/>
          <w:kern w:val="0"/>
        </w:rPr>
        <w:t>………………………………………………………………</w:t>
      </w:r>
      <w:r>
        <w:rPr>
          <w:rFonts w:ascii="宋体" w:hAnsi="宋体" w:cs="宋体"/>
        </w:rPr>
        <w:t>58</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（七）重点能源商品经销情况（205-7表）</w:t>
      </w:r>
      <w:r>
        <w:rPr>
          <w:rFonts w:hint="eastAsia" w:ascii="宋体" w:hAnsi="宋体" w:cs="宋体"/>
          <w:kern w:val="0"/>
        </w:rPr>
        <w:t>………………………………………………………………</w:t>
      </w:r>
      <w:r>
        <w:rPr>
          <w:rFonts w:ascii="宋体" w:hAnsi="宋体" w:cs="宋体"/>
        </w:rPr>
        <w:t>6</w:t>
      </w:r>
      <w:r>
        <w:rPr>
          <w:rFonts w:hint="eastAsia" w:ascii="宋体" w:hAnsi="宋体" w:cs="宋体"/>
        </w:rPr>
        <w:t>0</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（八）能源产品指标解释</w:t>
      </w:r>
      <w:r>
        <w:rPr>
          <w:rFonts w:hint="eastAsia" w:ascii="宋体" w:hAnsi="宋体" w:cs="宋体"/>
          <w:kern w:val="0"/>
        </w:rPr>
        <w:t>……………………………………………………………………………………</w:t>
      </w:r>
      <w:r>
        <w:rPr>
          <w:rFonts w:ascii="宋体" w:hAnsi="宋体" w:cs="宋体"/>
        </w:rPr>
        <w:t>6</w:t>
      </w:r>
      <w:r>
        <w:rPr>
          <w:rFonts w:hint="eastAsia" w:ascii="宋体" w:hAnsi="宋体" w:cs="宋体"/>
        </w:rPr>
        <w:t>1</w:t>
      </w:r>
    </w:p>
    <w:p>
      <w:pPr>
        <w:tabs>
          <w:tab w:val="right" w:leader="middleDot" w:pos="9030"/>
        </w:tabs>
        <w:spacing w:line="400" w:lineRule="exact"/>
        <w:jc w:val="distribute"/>
        <w:rPr>
          <w:rFonts w:ascii="宋体" w:hAnsi="宋体" w:cs="宋体"/>
        </w:rPr>
      </w:pPr>
      <w:r>
        <w:rPr>
          <w:rFonts w:hint="eastAsia" w:ascii="宋体" w:hAnsi="宋体" w:cs="宋体"/>
        </w:rPr>
        <w:t>六、附录</w:t>
      </w:r>
      <w:r>
        <w:rPr>
          <w:rFonts w:hint="eastAsia" w:ascii="宋体" w:hAnsi="宋体" w:cs="宋体"/>
          <w:kern w:val="0"/>
        </w:rPr>
        <w:t>………………………………………………………………………………………………………</w:t>
      </w:r>
      <w:r>
        <w:rPr>
          <w:rFonts w:ascii="宋体" w:hAnsi="宋体" w:cs="宋体"/>
        </w:rPr>
        <w:t>7</w:t>
      </w:r>
      <w:r>
        <w:rPr>
          <w:rFonts w:hint="eastAsia" w:ascii="宋体" w:hAnsi="宋体" w:cs="宋体"/>
        </w:rPr>
        <w:t>1</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（一）各种能源折标准煤参考系数</w:t>
      </w:r>
      <w:r>
        <w:rPr>
          <w:rFonts w:hint="eastAsia" w:ascii="宋体" w:hAnsi="宋体" w:cs="宋体"/>
          <w:kern w:val="0"/>
        </w:rPr>
        <w:t>…………………………………………………………………………</w:t>
      </w:r>
      <w:r>
        <w:rPr>
          <w:rFonts w:ascii="宋体" w:hAnsi="宋体" w:cs="宋体"/>
        </w:rPr>
        <w:t>7</w:t>
      </w:r>
      <w:r>
        <w:rPr>
          <w:rFonts w:hint="eastAsia" w:ascii="宋体" w:hAnsi="宋体" w:cs="宋体"/>
        </w:rPr>
        <w:t>1</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（二）热焓表（饱和蒸汽或过热蒸汽）</w:t>
      </w:r>
      <w:r>
        <w:rPr>
          <w:rFonts w:hint="eastAsia" w:ascii="宋体" w:hAnsi="宋体" w:cs="宋体"/>
          <w:kern w:val="0"/>
        </w:rPr>
        <w:t>……………………………………………………………………</w:t>
      </w:r>
      <w:r>
        <w:rPr>
          <w:rFonts w:ascii="宋体" w:hAnsi="宋体" w:cs="宋体"/>
        </w:rPr>
        <w:t>7</w:t>
      </w:r>
      <w:r>
        <w:rPr>
          <w:rFonts w:hint="eastAsia" w:ascii="宋体" w:hAnsi="宋体" w:cs="宋体"/>
        </w:rPr>
        <w:t>3</w:t>
      </w:r>
    </w:p>
    <w:p>
      <w:pPr>
        <w:tabs>
          <w:tab w:val="right" w:leader="middleDot" w:pos="9030"/>
        </w:tabs>
        <w:spacing w:line="400" w:lineRule="exact"/>
        <w:ind w:firstLine="180" w:firstLineChars="86"/>
        <w:jc w:val="distribute"/>
        <w:rPr>
          <w:rFonts w:ascii="宋体" w:hAnsi="宋体" w:cs="宋体"/>
        </w:rPr>
      </w:pPr>
      <w:r>
        <w:rPr>
          <w:rFonts w:hint="eastAsia" w:ascii="宋体" w:hAnsi="宋体" w:cs="宋体"/>
        </w:rPr>
        <w:t>（三）季度地区能源消费总量核算方案</w:t>
      </w:r>
      <w:r>
        <w:rPr>
          <w:rFonts w:hint="eastAsia" w:ascii="宋体" w:hAnsi="宋体" w:cs="宋体"/>
          <w:kern w:val="0"/>
        </w:rPr>
        <w:t>……………………………………………………………………</w:t>
      </w:r>
      <w:r>
        <w:rPr>
          <w:rFonts w:ascii="宋体" w:hAnsi="宋体" w:cs="宋体"/>
        </w:rPr>
        <w:t>7</w:t>
      </w:r>
      <w:r>
        <w:rPr>
          <w:rFonts w:hint="eastAsia" w:ascii="宋体" w:hAnsi="宋体" w:cs="宋体"/>
        </w:rPr>
        <w:t>7</w:t>
      </w:r>
    </w:p>
    <w:p>
      <w:pPr>
        <w:tabs>
          <w:tab w:val="left" w:leader="middleDot" w:pos="9030"/>
          <w:tab w:val="left" w:leader="middleDot" w:pos="9127"/>
        </w:tabs>
        <w:spacing w:line="360" w:lineRule="exact"/>
        <w:ind w:firstLine="180" w:firstLineChars="86"/>
        <w:jc w:val="distribute"/>
        <w:rPr>
          <w:rFonts w:ascii="宋体" w:hAnsi="宋体" w:cs="宋体"/>
        </w:rPr>
        <w:sectPr>
          <w:headerReference r:id="rId5" w:type="default"/>
          <w:headerReference r:id="rId6" w:type="even"/>
          <w:pgSz w:w="11906" w:h="16838"/>
          <w:pgMar w:top="1417" w:right="1247" w:bottom="1247" w:left="1247" w:header="850" w:footer="992" w:gutter="0"/>
          <w:pgNumType w:fmt="numberInDash" w:start="1"/>
          <w:cols w:space="720" w:num="1"/>
          <w:docGrid w:linePitch="286" w:charSpace="0"/>
        </w:sectPr>
      </w:pPr>
    </w:p>
    <w:p>
      <w:pPr>
        <w:pStyle w:val="2"/>
        <w:snapToGrid w:val="0"/>
        <w:spacing w:beforeLines="200" w:afterLines="200" w:line="240" w:lineRule="auto"/>
        <w:jc w:val="center"/>
        <w:rPr>
          <w:rFonts w:eastAsia="黑体"/>
          <w:b w:val="0"/>
          <w:sz w:val="32"/>
          <w:szCs w:val="32"/>
        </w:rPr>
      </w:pPr>
      <w:r>
        <w:rPr>
          <w:rFonts w:eastAsia="黑体"/>
          <w:b w:val="0"/>
          <w:sz w:val="32"/>
          <w:szCs w:val="32"/>
        </w:rPr>
        <w:t>一、总  说  明</w:t>
      </w:r>
    </w:p>
    <w:p>
      <w:pPr>
        <w:snapToGrid w:val="0"/>
        <w:spacing w:line="370" w:lineRule="exact"/>
        <w:ind w:firstLine="420" w:firstLineChars="200"/>
        <w:rPr>
          <w:rFonts w:hint="eastAsia" w:ascii="宋体" w:hAnsi="宋体" w:cs="宋体"/>
        </w:rPr>
      </w:pPr>
      <w:r>
        <w:rPr>
          <w:rFonts w:hint="eastAsia" w:ascii="宋体" w:hAnsi="宋体" w:cs="宋体"/>
        </w:rPr>
        <w:t>（一）为了解全省能源供应、需求的基本情况，为各级政府制定政策、进行经济管理与调控提供依据，依照《中华人民共和国统计法》，制定本制度。</w:t>
      </w:r>
    </w:p>
    <w:p>
      <w:pPr>
        <w:snapToGrid w:val="0"/>
        <w:spacing w:line="370" w:lineRule="exact"/>
        <w:ind w:firstLine="420" w:firstLineChars="200"/>
        <w:rPr>
          <w:rFonts w:hint="eastAsia" w:ascii="宋体" w:hAnsi="宋体" w:cs="宋体"/>
        </w:rPr>
      </w:pPr>
      <w:r>
        <w:rPr>
          <w:rFonts w:hint="eastAsia" w:ascii="宋体" w:hAnsi="宋体" w:cs="宋体"/>
        </w:rPr>
        <w:t>（二）本制度是国家统计调查的一部分，是省统计局根据国家统计局的统一规定和要求对各设区市、平潭综合实验区统计局和省电力有限公司的综合要求。各设区市、平潭综合实验区统计局和省电力有限公司应按照统一规定的统计范围、计算方法、统计口径和填报要求，认真组织实施，按时报送。</w:t>
      </w:r>
    </w:p>
    <w:p>
      <w:pPr>
        <w:snapToGrid w:val="0"/>
        <w:spacing w:line="370" w:lineRule="exact"/>
        <w:ind w:firstLine="420" w:firstLineChars="200"/>
        <w:rPr>
          <w:rFonts w:hint="eastAsia" w:ascii="宋体" w:hAnsi="宋体" w:cs="宋体"/>
          <w:szCs w:val="21"/>
        </w:rPr>
      </w:pPr>
      <w:r>
        <w:rPr>
          <w:rFonts w:hint="eastAsia" w:ascii="宋体" w:hAnsi="宋体" w:cs="宋体"/>
        </w:rPr>
        <w:t>（三）</w:t>
      </w:r>
      <w:r>
        <w:rPr>
          <w:rFonts w:hint="eastAsia" w:ascii="宋体" w:hAnsi="宋体" w:cs="宋体"/>
          <w:szCs w:val="21"/>
        </w:rPr>
        <w:t>本制度主要由基层年报表、基层定期报表、综合年报表、综合定期报表构成，这些报表反映能源的生产、销售、进出口、库存、购进、消费和能耗强度等情况。</w:t>
      </w:r>
    </w:p>
    <w:p>
      <w:pPr>
        <w:snapToGrid w:val="0"/>
        <w:spacing w:line="370" w:lineRule="exact"/>
        <w:ind w:firstLine="420" w:firstLineChars="200"/>
        <w:rPr>
          <w:rFonts w:hint="eastAsia" w:ascii="宋体" w:hAnsi="宋体" w:cs="宋体"/>
        </w:rPr>
      </w:pPr>
      <w:r>
        <w:rPr>
          <w:rFonts w:hint="eastAsia" w:ascii="宋体" w:hAnsi="宋体" w:cs="宋体"/>
        </w:rPr>
        <w:t>（四）资料来源及调查方法。“能源平衡表（实物量）”（P303-1表）、“能源平衡表（标准量）”（P303-4表）由各设区市和平潭综合实验区统计局编制上报；“地区能源消费与单位</w:t>
      </w:r>
      <w:r>
        <w:rPr>
          <w:rFonts w:hint="eastAsia" w:ascii="宋体" w:hAnsi="宋体" w:cs="宋体"/>
          <w:szCs w:val="21"/>
        </w:rPr>
        <w:t>GDP</w:t>
      </w:r>
      <w:r>
        <w:rPr>
          <w:rFonts w:hint="eastAsia" w:ascii="宋体" w:hAnsi="宋体" w:cs="宋体"/>
        </w:rPr>
        <w:t>能耗”（P406表）根据相关指标计算和填报；“</w:t>
      </w:r>
      <w:r>
        <w:rPr>
          <w:rFonts w:hint="eastAsia" w:ascii="宋体" w:hAnsi="宋体" w:cs="宋体"/>
          <w:szCs w:val="21"/>
        </w:rPr>
        <w:t>全社会用电量情况</w:t>
      </w:r>
      <w:r>
        <w:rPr>
          <w:rFonts w:hint="eastAsia" w:ascii="宋体" w:hAnsi="宋体" w:cs="宋体"/>
        </w:rPr>
        <w:t>”</w:t>
      </w:r>
      <w:r>
        <w:rPr>
          <w:rFonts w:hint="eastAsia" w:ascii="宋体" w:hAnsi="宋体" w:cs="宋体"/>
          <w:szCs w:val="21"/>
        </w:rPr>
        <w:t>（P407表）</w:t>
      </w:r>
      <w:r>
        <w:rPr>
          <w:rFonts w:hint="eastAsia" w:ascii="宋体" w:hAnsi="宋体" w:cs="宋体"/>
        </w:rPr>
        <w:t>由省电力有限公司进行调查填报；其他年、定报报表由各设区市、平潭综合实验区统计局负责组织实施，按规定的范围对统计对象进行调查。</w:t>
      </w:r>
    </w:p>
    <w:p>
      <w:pPr>
        <w:snapToGrid w:val="0"/>
        <w:spacing w:line="370" w:lineRule="exact"/>
        <w:ind w:firstLine="420" w:firstLineChars="200"/>
        <w:rPr>
          <w:rFonts w:hint="eastAsia" w:ascii="宋体" w:hAnsi="宋体" w:cs="宋体"/>
        </w:rPr>
      </w:pPr>
      <w:r>
        <w:rPr>
          <w:rFonts w:hint="eastAsia" w:ascii="宋体" w:hAnsi="宋体" w:cs="宋体"/>
        </w:rPr>
        <w:t>（五）汇总上报要求</w:t>
      </w:r>
    </w:p>
    <w:p>
      <w:pPr>
        <w:snapToGrid w:val="0"/>
        <w:spacing w:line="370" w:lineRule="exact"/>
        <w:ind w:firstLine="420" w:firstLineChars="200"/>
        <w:rPr>
          <w:rFonts w:hint="eastAsia" w:ascii="宋体" w:hAnsi="宋体" w:cs="宋体"/>
        </w:rPr>
      </w:pPr>
      <w:r>
        <w:rPr>
          <w:rFonts w:hint="eastAsia" w:ascii="宋体" w:hAnsi="宋体" w:cs="宋体"/>
        </w:rPr>
        <w:t>1.“能源购进、消费与库存”（205-1表）、“能源加工转换与回收利用”（205-2表）、“主要耗能工业企业单位产品能源消费情况”（205-3表）、“工业企业用水情况”（205-4表）、“</w:t>
      </w:r>
      <w:r>
        <w:rPr>
          <w:rFonts w:hint="eastAsia" w:ascii="宋体" w:hAnsi="宋体" w:cs="宋体"/>
          <w:szCs w:val="21"/>
        </w:rPr>
        <w:t>非工业重点耗能单位能源消费情况”（205-5表）、“能源生产、销售与库存”（205-6表）和“</w:t>
      </w:r>
      <w:r>
        <w:rPr>
          <w:rFonts w:hint="eastAsia" w:ascii="宋体" w:hAnsi="宋体" w:cs="宋体"/>
        </w:rPr>
        <w:t>重点能源商品经销情况</w:t>
      </w:r>
      <w:r>
        <w:rPr>
          <w:rFonts w:hint="eastAsia" w:ascii="宋体" w:hAnsi="宋体" w:cs="宋体"/>
          <w:szCs w:val="21"/>
        </w:rPr>
        <w:t>”（205-7表）属于国家统计局《一套表统计调查制度》中的报表，</w:t>
      </w:r>
      <w:r>
        <w:rPr>
          <w:rFonts w:hint="eastAsia" w:ascii="宋体" w:hAnsi="宋体" w:cs="宋体"/>
        </w:rPr>
        <w:t>由法人单位网上报送数据；“四下企业主要能源产品产量”（P106表）网上报送数据。</w:t>
      </w:r>
      <w:r>
        <w:rPr>
          <w:rFonts w:hint="eastAsia"/>
        </w:rPr>
        <w:t>视同法人单位与法人单位履行相同的统计义务，填报法人单位调查表。</w:t>
      </w:r>
    </w:p>
    <w:p>
      <w:pPr>
        <w:snapToGrid w:val="0"/>
        <w:spacing w:line="370" w:lineRule="exact"/>
        <w:ind w:firstLine="420" w:firstLineChars="200"/>
        <w:rPr>
          <w:rFonts w:hint="eastAsia" w:ascii="宋体" w:hAnsi="宋体" w:cs="宋体"/>
        </w:rPr>
      </w:pPr>
      <w:r>
        <w:rPr>
          <w:rFonts w:hint="eastAsia" w:ascii="宋体" w:hAnsi="宋体" w:cs="宋体"/>
        </w:rPr>
        <w:t>2.“能源平衡表（实物量）”（P303-1表）、“能源平衡表（标准量）”（P303-4表）和“地区能源消费与单位</w:t>
      </w:r>
      <w:r>
        <w:rPr>
          <w:rFonts w:hint="eastAsia" w:ascii="宋体" w:hAnsi="宋体" w:cs="宋体"/>
          <w:szCs w:val="21"/>
        </w:rPr>
        <w:t>GDP</w:t>
      </w:r>
      <w:r>
        <w:rPr>
          <w:rFonts w:hint="eastAsia" w:ascii="宋体" w:hAnsi="宋体" w:cs="宋体"/>
        </w:rPr>
        <w:t>能耗”（P406表）由各设区市和平潭综合实验区统计局报送综合表；“</w:t>
      </w:r>
      <w:r>
        <w:rPr>
          <w:rFonts w:hint="eastAsia" w:ascii="宋体" w:hAnsi="宋体" w:cs="宋体"/>
          <w:szCs w:val="21"/>
        </w:rPr>
        <w:t>全社会用电量情况</w:t>
      </w:r>
      <w:r>
        <w:rPr>
          <w:rFonts w:hint="eastAsia" w:ascii="宋体" w:hAnsi="宋体" w:cs="宋体"/>
        </w:rPr>
        <w:t>”</w:t>
      </w:r>
      <w:r>
        <w:rPr>
          <w:rFonts w:hint="eastAsia" w:ascii="宋体" w:hAnsi="宋体" w:cs="宋体"/>
          <w:szCs w:val="21"/>
        </w:rPr>
        <w:t>（P407表）</w:t>
      </w:r>
      <w:r>
        <w:rPr>
          <w:rFonts w:hint="eastAsia" w:ascii="宋体" w:hAnsi="宋体" w:cs="宋体"/>
        </w:rPr>
        <w:t>由省电力有限公司向省统计局报送汇总表。</w:t>
      </w:r>
    </w:p>
    <w:p>
      <w:pPr>
        <w:spacing w:line="370" w:lineRule="exact"/>
        <w:ind w:firstLine="420" w:firstLineChars="200"/>
        <w:rPr>
          <w:rFonts w:hint="eastAsia" w:ascii="宋体" w:hAnsi="宋体" w:cs="宋体"/>
          <w:bCs/>
          <w:szCs w:val="21"/>
        </w:rPr>
      </w:pPr>
      <w:r>
        <w:rPr>
          <w:rFonts w:hint="eastAsia" w:ascii="宋体" w:hAnsi="宋体" w:cs="宋体"/>
          <w:bCs/>
          <w:szCs w:val="21"/>
        </w:rPr>
        <w:t>3.各专业经审核通过的破产、注（吊）销退出单位，退出一套表调查单位库；经审核通过的停业（歇业）退出单位，仍保留在一套表调查单位库中。以上两类退出单位，国家统计局将在“调查单位基本情况”（101-1表）中分别设置代报标识，由程序自动摘抄有关后续表当期累计数和上年同期数。其中工业、批发和零售业、住宿和餐饮业、服务业退出单位将于次年年报停止摘抄上年同期数，并退出调查单位库，各地无需再次申报退库。停业（歇业）退出单位如在次年年报前恢复正常运营，需按要求重新申报。</w:t>
      </w:r>
    </w:p>
    <w:p>
      <w:pPr>
        <w:spacing w:line="370" w:lineRule="exact"/>
        <w:ind w:firstLine="420" w:firstLineChars="200"/>
        <w:rPr>
          <w:rFonts w:hint="eastAsia" w:ascii="宋体" w:hAnsi="宋体" w:cs="宋体"/>
          <w:bCs/>
          <w:szCs w:val="21"/>
        </w:rPr>
      </w:pPr>
      <w:r>
        <w:rPr>
          <w:rFonts w:hint="eastAsia" w:ascii="宋体" w:hAnsi="宋体" w:cs="宋体"/>
          <w:bCs/>
          <w:szCs w:val="21"/>
        </w:rPr>
        <w:t>4.找不到人的调查单位，由直管统计机构在调查单位数据上报截止日期之后，及时摸清具体原因，在联网直报平台对这部分调查单位设置相应标识（当年关闭、当年破产、停业歇业、其他等），系统自动提取并复制上月（季）数据(年报按照一定规则自动提取同年1-12月定报数据)更新调查单位当前报告期“累计”类指标。</w:t>
      </w:r>
    </w:p>
    <w:p>
      <w:pPr>
        <w:snapToGrid w:val="0"/>
        <w:spacing w:line="370" w:lineRule="exact"/>
        <w:ind w:firstLine="420" w:firstLineChars="200"/>
        <w:rPr>
          <w:rFonts w:hint="eastAsia" w:ascii="宋体" w:hAnsi="宋体" w:cs="宋体"/>
        </w:rPr>
      </w:pPr>
      <w:r>
        <w:rPr>
          <w:rFonts w:hint="eastAsia" w:ascii="宋体" w:hAnsi="宋体" w:cs="宋体"/>
        </w:rPr>
        <w:t>5.“能源平衡表（实物量）”（P303-1表）、“能源平衡表（标准量）”（P303-4表）、 “地区能源消费与单位</w:t>
      </w:r>
      <w:r>
        <w:rPr>
          <w:rFonts w:hint="eastAsia" w:ascii="宋体" w:hAnsi="宋体" w:cs="宋体"/>
          <w:szCs w:val="21"/>
        </w:rPr>
        <w:t>GDP</w:t>
      </w:r>
      <w:r>
        <w:rPr>
          <w:rFonts w:hint="eastAsia" w:ascii="宋体" w:hAnsi="宋体" w:cs="宋体"/>
        </w:rPr>
        <w:t>能耗”（P406表）、“季度地区能源消费总量核算方案”中的“服务业</w:t>
      </w:r>
      <w:r>
        <w:rPr>
          <w:rFonts w:hint="eastAsia" w:ascii="宋体" w:hAnsi="宋体" w:cs="宋体"/>
          <w:vertAlign w:val="superscript"/>
        </w:rPr>
        <w:t>*</w:t>
      </w:r>
      <w:r>
        <w:rPr>
          <w:rFonts w:hint="eastAsia" w:ascii="宋体" w:hAnsi="宋体" w:cs="宋体"/>
        </w:rPr>
        <w:t>”是指《国民经济行业分类》（GB/T 4754-2017）目录中的门类F批发和零售业至T国际组织，不包括行业大类05农、林、牧、渔专业及辅助性活动、11开采专业及辅助性活动、43金属制品、机械和设备修理业。</w:t>
      </w:r>
    </w:p>
    <w:p>
      <w:pPr>
        <w:pStyle w:val="2"/>
        <w:snapToGrid w:val="0"/>
        <w:spacing w:before="0" w:after="0" w:line="240" w:lineRule="auto"/>
        <w:jc w:val="center"/>
        <w:rPr>
          <w:rFonts w:eastAsia="黑体"/>
          <w:b w:val="0"/>
          <w:sz w:val="32"/>
          <w:szCs w:val="32"/>
        </w:rPr>
      </w:pPr>
      <w:r>
        <w:br w:type="page"/>
      </w:r>
      <w:r>
        <w:rPr>
          <w:rFonts w:eastAsia="黑体"/>
          <w:b w:val="0"/>
          <w:sz w:val="32"/>
          <w:szCs w:val="32"/>
        </w:rPr>
        <w:t>二、报 表 目 录</w:t>
      </w:r>
    </w:p>
    <w:tbl>
      <w:tblPr>
        <w:tblStyle w:val="25"/>
        <w:tblW w:w="943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836"/>
        <w:gridCol w:w="1694"/>
        <w:gridCol w:w="625"/>
        <w:gridCol w:w="1958"/>
        <w:gridCol w:w="876"/>
        <w:gridCol w:w="1490"/>
        <w:gridCol w:w="1490"/>
        <w:gridCol w:w="463"/>
        <w:tblGridChange w:id="0">
          <w:tblGrid>
            <w:gridCol w:w="836"/>
            <w:gridCol w:w="1694"/>
            <w:gridCol w:w="625"/>
            <w:gridCol w:w="1958"/>
            <w:gridCol w:w="876"/>
            <w:gridCol w:w="1490"/>
            <w:gridCol w:w="1490"/>
            <w:gridCol w:w="463"/>
          </w:tblGrid>
        </w:tblGridChange>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704" w:hRule="atLeast"/>
          <w:jc w:val="center"/>
        </w:trPr>
        <w:tc>
          <w:tcPr>
            <w:tcW w:w="836" w:type="dxa"/>
            <w:vAlign w:val="center"/>
          </w:tcPr>
          <w:p>
            <w:pPr>
              <w:snapToGrid w:val="0"/>
              <w:jc w:val="center"/>
              <w:rPr>
                <w:rFonts w:ascii="宋体" w:hAnsi="宋体"/>
                <w:sz w:val="18"/>
                <w:szCs w:val="18"/>
              </w:rPr>
            </w:pPr>
            <w:r>
              <w:rPr>
                <w:rFonts w:ascii="宋体" w:hAnsi="宋体"/>
                <w:sz w:val="18"/>
                <w:szCs w:val="18"/>
              </w:rPr>
              <w:t>表号</w:t>
            </w:r>
          </w:p>
        </w:tc>
        <w:tc>
          <w:tcPr>
            <w:tcW w:w="1694" w:type="dxa"/>
            <w:vAlign w:val="center"/>
          </w:tcPr>
          <w:p>
            <w:pPr>
              <w:snapToGrid w:val="0"/>
              <w:jc w:val="center"/>
              <w:rPr>
                <w:rFonts w:ascii="宋体" w:hAnsi="宋体"/>
                <w:sz w:val="18"/>
                <w:szCs w:val="18"/>
              </w:rPr>
            </w:pPr>
            <w:r>
              <w:rPr>
                <w:rFonts w:ascii="宋体" w:hAnsi="宋体"/>
                <w:sz w:val="18"/>
                <w:szCs w:val="18"/>
              </w:rPr>
              <w:t>表名</w:t>
            </w:r>
          </w:p>
        </w:tc>
        <w:tc>
          <w:tcPr>
            <w:tcW w:w="625" w:type="dxa"/>
            <w:vAlign w:val="center"/>
          </w:tcPr>
          <w:p>
            <w:pPr>
              <w:snapToGrid w:val="0"/>
              <w:jc w:val="center"/>
              <w:rPr>
                <w:rFonts w:ascii="宋体" w:hAnsi="宋体"/>
                <w:sz w:val="18"/>
                <w:szCs w:val="18"/>
              </w:rPr>
            </w:pPr>
            <w:r>
              <w:rPr>
                <w:rFonts w:ascii="宋体" w:hAnsi="宋体"/>
                <w:sz w:val="18"/>
                <w:szCs w:val="18"/>
              </w:rPr>
              <w:t>报告期别</w:t>
            </w:r>
          </w:p>
        </w:tc>
        <w:tc>
          <w:tcPr>
            <w:tcW w:w="1958" w:type="dxa"/>
            <w:vAlign w:val="center"/>
          </w:tcPr>
          <w:p>
            <w:pPr>
              <w:snapToGrid w:val="0"/>
              <w:jc w:val="center"/>
              <w:rPr>
                <w:rFonts w:ascii="宋体" w:hAnsi="宋体"/>
                <w:sz w:val="18"/>
                <w:szCs w:val="18"/>
              </w:rPr>
            </w:pPr>
            <w:r>
              <w:rPr>
                <w:rFonts w:ascii="宋体" w:hAnsi="宋体"/>
                <w:sz w:val="18"/>
                <w:szCs w:val="18"/>
              </w:rPr>
              <w:t>统计范围</w:t>
            </w:r>
          </w:p>
        </w:tc>
        <w:tc>
          <w:tcPr>
            <w:tcW w:w="876" w:type="dxa"/>
            <w:vAlign w:val="center"/>
          </w:tcPr>
          <w:p>
            <w:pPr>
              <w:snapToGrid w:val="0"/>
              <w:jc w:val="center"/>
              <w:rPr>
                <w:rFonts w:ascii="宋体" w:hAnsi="宋体"/>
                <w:sz w:val="18"/>
                <w:szCs w:val="18"/>
              </w:rPr>
            </w:pPr>
            <w:r>
              <w:rPr>
                <w:rFonts w:ascii="宋体" w:hAnsi="宋体"/>
                <w:sz w:val="18"/>
                <w:szCs w:val="18"/>
              </w:rPr>
              <w:t>报送单位</w:t>
            </w:r>
          </w:p>
        </w:tc>
        <w:tc>
          <w:tcPr>
            <w:tcW w:w="1490" w:type="dxa"/>
            <w:tcBorders>
              <w:top w:val="single" w:color="auto" w:sz="8" w:space="0"/>
              <w:bottom w:val="single" w:color="auto" w:sz="2" w:space="0"/>
            </w:tcBorders>
            <w:vAlign w:val="center"/>
          </w:tcPr>
          <w:p>
            <w:pPr>
              <w:snapToGrid w:val="0"/>
              <w:jc w:val="center"/>
              <w:rPr>
                <w:rFonts w:ascii="宋体" w:hAnsi="宋体"/>
                <w:sz w:val="18"/>
                <w:szCs w:val="18"/>
                <w:highlight w:val="yellow"/>
              </w:rPr>
            </w:pPr>
            <w:r>
              <w:rPr>
                <w:rFonts w:ascii="宋体" w:hAnsi="宋体"/>
                <w:sz w:val="18"/>
                <w:szCs w:val="18"/>
              </w:rPr>
              <w:t>报送时间</w:t>
            </w:r>
            <w:r>
              <w:rPr>
                <w:rFonts w:ascii="宋体" w:hAnsi="宋体"/>
                <w:sz w:val="18"/>
                <w:szCs w:val="18"/>
              </w:rPr>
              <w:br w:type="textWrapping"/>
            </w:r>
            <w:r>
              <w:rPr>
                <w:rFonts w:ascii="宋体" w:hAnsi="宋体"/>
                <w:sz w:val="18"/>
                <w:szCs w:val="18"/>
              </w:rPr>
              <w:t>及 方 式</w:t>
            </w:r>
          </w:p>
        </w:tc>
        <w:tc>
          <w:tcPr>
            <w:tcW w:w="1490" w:type="dxa"/>
            <w:tcBorders>
              <w:top w:val="single" w:color="auto" w:sz="8" w:space="0"/>
              <w:bottom w:val="single" w:color="auto" w:sz="2" w:space="0"/>
            </w:tcBorders>
            <w:tcMar>
              <w:left w:w="0" w:type="dxa"/>
              <w:right w:w="0" w:type="dxa"/>
            </w:tcMar>
            <w:vAlign w:val="center"/>
          </w:tcPr>
          <w:p>
            <w:pPr>
              <w:snapToGrid w:val="0"/>
              <w:jc w:val="center"/>
              <w:rPr>
                <w:rFonts w:ascii="宋体" w:hAnsi="宋体"/>
                <w:sz w:val="18"/>
                <w:szCs w:val="18"/>
              </w:rPr>
            </w:pPr>
            <w:r>
              <w:rPr>
                <w:rFonts w:hint="eastAsia" w:ascii="宋体" w:hAnsi="宋体"/>
                <w:sz w:val="18"/>
                <w:szCs w:val="18"/>
              </w:rPr>
              <w:t>市</w:t>
            </w:r>
            <w:r>
              <w:rPr>
                <w:rFonts w:ascii="宋体" w:hAnsi="宋体"/>
                <w:sz w:val="18"/>
                <w:szCs w:val="18"/>
              </w:rPr>
              <w:t>级验收</w:t>
            </w:r>
          </w:p>
          <w:p>
            <w:pPr>
              <w:snapToGrid w:val="0"/>
              <w:jc w:val="center"/>
              <w:rPr>
                <w:rFonts w:ascii="宋体" w:hAnsi="宋体"/>
                <w:sz w:val="18"/>
                <w:szCs w:val="18"/>
              </w:rPr>
            </w:pPr>
            <w:r>
              <w:rPr>
                <w:rFonts w:ascii="宋体" w:hAnsi="宋体"/>
                <w:sz w:val="18"/>
                <w:szCs w:val="18"/>
              </w:rPr>
              <w:t>截止时间</w:t>
            </w:r>
          </w:p>
        </w:tc>
        <w:tc>
          <w:tcPr>
            <w:tcW w:w="463" w:type="dxa"/>
            <w:vAlign w:val="center"/>
          </w:tcPr>
          <w:p>
            <w:pPr>
              <w:snapToGrid w:val="0"/>
              <w:jc w:val="center"/>
              <w:rPr>
                <w:rFonts w:ascii="宋体" w:hAnsi="宋体"/>
                <w:sz w:val="18"/>
                <w:szCs w:val="18"/>
              </w:rPr>
            </w:pPr>
            <w:r>
              <w:rPr>
                <w:rFonts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jc w:val="center"/>
        </w:trPr>
        <w:tc>
          <w:tcPr>
            <w:tcW w:w="9432" w:type="dxa"/>
            <w:gridSpan w:val="8"/>
            <w:vAlign w:val="center"/>
          </w:tcPr>
          <w:p>
            <w:pPr>
              <w:rPr>
                <w:rFonts w:ascii="宋体" w:hAnsi="宋体"/>
                <w:sz w:val="18"/>
                <w:szCs w:val="18"/>
              </w:rPr>
            </w:pPr>
            <w:r>
              <w:rPr>
                <w:rFonts w:ascii="宋体" w:hAnsi="宋体"/>
                <w:sz w:val="18"/>
                <w:szCs w:val="18"/>
              </w:rPr>
              <w:t>（一）基层年报表式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476" w:hRule="atLeast"/>
          <w:jc w:val="center"/>
        </w:trPr>
        <w:tc>
          <w:tcPr>
            <w:tcW w:w="836" w:type="dxa"/>
            <w:vAlign w:val="center"/>
          </w:tcPr>
          <w:p>
            <w:pPr>
              <w:spacing w:line="200" w:lineRule="exact"/>
              <w:rPr>
                <w:rFonts w:ascii="宋体" w:hAnsi="宋体"/>
                <w:sz w:val="18"/>
                <w:szCs w:val="18"/>
              </w:rPr>
            </w:pPr>
            <w:r>
              <w:rPr>
                <w:rFonts w:ascii="宋体" w:hAnsi="宋体"/>
                <w:sz w:val="18"/>
                <w:szCs w:val="18"/>
              </w:rPr>
              <w:t>P106表</w:t>
            </w:r>
          </w:p>
        </w:tc>
        <w:tc>
          <w:tcPr>
            <w:tcW w:w="1694" w:type="dxa"/>
            <w:vAlign w:val="center"/>
          </w:tcPr>
          <w:p>
            <w:pPr>
              <w:spacing w:line="200" w:lineRule="exact"/>
              <w:rPr>
                <w:rFonts w:ascii="宋体" w:hAnsi="宋体"/>
                <w:sz w:val="18"/>
                <w:szCs w:val="18"/>
              </w:rPr>
            </w:pPr>
            <w:r>
              <w:rPr>
                <w:rFonts w:hint="eastAsia" w:ascii="宋体" w:hAnsi="宋体"/>
                <w:sz w:val="18"/>
                <w:szCs w:val="18"/>
              </w:rPr>
              <w:t>四下企业</w:t>
            </w:r>
            <w:r>
              <w:rPr>
                <w:rFonts w:ascii="宋体" w:hAnsi="宋体"/>
                <w:sz w:val="18"/>
                <w:szCs w:val="18"/>
              </w:rPr>
              <w:t>主要能源产品产量</w:t>
            </w:r>
          </w:p>
        </w:tc>
        <w:tc>
          <w:tcPr>
            <w:tcW w:w="625" w:type="dxa"/>
            <w:vAlign w:val="center"/>
          </w:tcPr>
          <w:p>
            <w:pPr>
              <w:pStyle w:val="14"/>
              <w:pBdr>
                <w:bottom w:val="none" w:color="auto" w:sz="0" w:space="0"/>
              </w:pBdr>
              <w:tabs>
                <w:tab w:val="clear" w:pos="4153"/>
                <w:tab w:val="clear" w:pos="8306"/>
              </w:tabs>
              <w:snapToGrid/>
              <w:spacing w:line="200" w:lineRule="exact"/>
              <w:rPr>
                <w:rFonts w:ascii="宋体" w:hAnsi="宋体"/>
              </w:rPr>
            </w:pPr>
            <w:r>
              <w:rPr>
                <w:rFonts w:ascii="宋体" w:hAnsi="宋体"/>
              </w:rPr>
              <w:t>年报</w:t>
            </w:r>
          </w:p>
        </w:tc>
        <w:tc>
          <w:tcPr>
            <w:tcW w:w="1958" w:type="dxa"/>
            <w:vAlign w:val="center"/>
          </w:tcPr>
          <w:p>
            <w:pPr>
              <w:spacing w:line="200" w:lineRule="exact"/>
              <w:rPr>
                <w:rFonts w:ascii="宋体" w:hAnsi="宋体"/>
                <w:sz w:val="18"/>
                <w:szCs w:val="18"/>
              </w:rPr>
            </w:pPr>
            <w:r>
              <w:rPr>
                <w:rFonts w:hint="eastAsia" w:ascii="宋体" w:hAnsi="宋体"/>
                <w:sz w:val="18"/>
                <w:szCs w:val="18"/>
              </w:rPr>
              <w:t>辖区内有原煤、天然气和火电生产的规模以下工业、资质外的建筑业、限额以下批发和零售业、限额以下住宿和餐饮业和规模以下服务业等重点法人单位</w:t>
            </w:r>
          </w:p>
        </w:tc>
        <w:tc>
          <w:tcPr>
            <w:tcW w:w="876" w:type="dxa"/>
            <w:vAlign w:val="center"/>
          </w:tcPr>
          <w:p>
            <w:pPr>
              <w:spacing w:line="200" w:lineRule="exact"/>
              <w:jc w:val="center"/>
              <w:rPr>
                <w:rFonts w:ascii="宋体" w:hAnsi="宋体"/>
                <w:sz w:val="18"/>
                <w:szCs w:val="18"/>
              </w:rPr>
            </w:pPr>
            <w:r>
              <w:rPr>
                <w:rFonts w:hint="eastAsia" w:ascii="宋体" w:hAnsi="宋体"/>
                <w:sz w:val="18"/>
                <w:szCs w:val="18"/>
              </w:rPr>
              <w:t>法人单位</w:t>
            </w:r>
          </w:p>
        </w:tc>
        <w:tc>
          <w:tcPr>
            <w:tcW w:w="1490" w:type="dxa"/>
            <w:vAlign w:val="center"/>
          </w:tcPr>
          <w:p>
            <w:pPr>
              <w:spacing w:line="200" w:lineRule="exact"/>
              <w:rPr>
                <w:rFonts w:ascii="宋体" w:hAnsi="宋体"/>
                <w:sz w:val="18"/>
                <w:szCs w:val="18"/>
              </w:rPr>
            </w:pPr>
            <w:r>
              <w:rPr>
                <w:rFonts w:ascii="宋体" w:hAnsi="宋体"/>
                <w:sz w:val="18"/>
                <w:szCs w:val="18"/>
              </w:rPr>
              <w:t>次年1月</w:t>
            </w:r>
            <w:r>
              <w:rPr>
                <w:rFonts w:hint="eastAsia" w:ascii="宋体" w:hAnsi="宋体"/>
                <w:sz w:val="18"/>
                <w:szCs w:val="18"/>
              </w:rPr>
              <w:t>15</w:t>
            </w:r>
            <w:r>
              <w:rPr>
                <w:rFonts w:ascii="宋体" w:hAnsi="宋体"/>
                <w:sz w:val="18"/>
                <w:szCs w:val="18"/>
              </w:rPr>
              <w:t>日</w:t>
            </w:r>
            <w:r>
              <w:rPr>
                <w:rFonts w:hint="eastAsia" w:ascii="宋体" w:hAnsi="宋体"/>
                <w:sz w:val="18"/>
                <w:szCs w:val="18"/>
              </w:rPr>
              <w:t>12:00</w:t>
            </w:r>
            <w:r>
              <w:rPr>
                <w:rFonts w:ascii="宋体" w:hAnsi="宋体"/>
                <w:sz w:val="18"/>
                <w:szCs w:val="18"/>
              </w:rPr>
              <w:t>前</w:t>
            </w:r>
            <w:r>
              <w:rPr>
                <w:rFonts w:hint="eastAsia" w:ascii="宋体" w:hAnsi="宋体"/>
                <w:sz w:val="18"/>
                <w:szCs w:val="18"/>
              </w:rPr>
              <w:t>网上填报</w:t>
            </w:r>
            <w:r>
              <w:rPr>
                <w:rFonts w:ascii="宋体" w:hAnsi="宋体"/>
                <w:sz w:val="18"/>
                <w:szCs w:val="18"/>
              </w:rPr>
              <w:t xml:space="preserve"> </w:t>
            </w:r>
          </w:p>
        </w:tc>
        <w:tc>
          <w:tcPr>
            <w:tcW w:w="1490" w:type="dxa"/>
            <w:vAlign w:val="center"/>
          </w:tcPr>
          <w:p>
            <w:pPr>
              <w:pStyle w:val="14"/>
              <w:pBdr>
                <w:bottom w:val="none" w:color="auto" w:sz="0" w:space="0"/>
              </w:pBdr>
              <w:tabs>
                <w:tab w:val="clear" w:pos="4153"/>
                <w:tab w:val="clear" w:pos="8306"/>
              </w:tabs>
              <w:snapToGrid/>
              <w:spacing w:line="200" w:lineRule="exact"/>
              <w:rPr>
                <w:rFonts w:ascii="宋体" w:hAnsi="宋体"/>
              </w:rPr>
            </w:pPr>
            <w:r>
              <w:rPr>
                <w:rFonts w:ascii="宋体" w:hAnsi="宋体"/>
              </w:rPr>
              <w:t>—</w:t>
            </w:r>
          </w:p>
        </w:tc>
        <w:tc>
          <w:tcPr>
            <w:tcW w:w="463" w:type="dxa"/>
            <w:vAlign w:val="center"/>
          </w:tcPr>
          <w:p>
            <w:pPr>
              <w:pStyle w:val="14"/>
              <w:pBdr>
                <w:bottom w:val="none" w:color="auto" w:sz="0" w:space="0"/>
              </w:pBdr>
              <w:tabs>
                <w:tab w:val="clear" w:pos="4153"/>
                <w:tab w:val="clear" w:pos="8306"/>
              </w:tabs>
              <w:snapToGrid/>
              <w:spacing w:line="200" w:lineRule="exact"/>
              <w:rPr>
                <w:rFonts w:ascii="宋体" w:hAnsi="宋体"/>
              </w:rPr>
            </w:pPr>
            <w:r>
              <w:rPr>
                <w:rFonts w:hint="eastAsia" w:ascii="宋体" w:hAnsi="宋体"/>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jc w:val="center"/>
        </w:trPr>
        <w:tc>
          <w:tcPr>
            <w:tcW w:w="9432" w:type="dxa"/>
            <w:gridSpan w:val="8"/>
            <w:vAlign w:val="center"/>
          </w:tcPr>
          <w:p>
            <w:pPr>
              <w:rPr>
                <w:rFonts w:ascii="宋体" w:hAnsi="宋体"/>
                <w:sz w:val="18"/>
                <w:szCs w:val="18"/>
              </w:rPr>
            </w:pPr>
            <w:r>
              <w:rPr>
                <w:rFonts w:ascii="宋体" w:hAnsi="宋体"/>
                <w:sz w:val="18"/>
                <w:szCs w:val="18"/>
              </w:rPr>
              <w:t>（二）基层定报表式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745" w:hRule="atLeast"/>
          <w:jc w:val="center"/>
        </w:trPr>
        <w:tc>
          <w:tcPr>
            <w:tcW w:w="836" w:type="dxa"/>
            <w:vAlign w:val="center"/>
          </w:tcPr>
          <w:p>
            <w:pPr>
              <w:spacing w:line="240" w:lineRule="exact"/>
              <w:rPr>
                <w:rFonts w:ascii="宋体" w:hAnsi="宋体"/>
                <w:sz w:val="18"/>
                <w:szCs w:val="18"/>
              </w:rPr>
            </w:pPr>
            <w:r>
              <w:rPr>
                <w:rFonts w:ascii="宋体" w:hAnsi="宋体"/>
                <w:sz w:val="18"/>
                <w:szCs w:val="18"/>
              </w:rPr>
              <w:t>205-1表</w:t>
            </w:r>
          </w:p>
        </w:tc>
        <w:tc>
          <w:tcPr>
            <w:tcW w:w="1694" w:type="dxa"/>
            <w:vAlign w:val="center"/>
          </w:tcPr>
          <w:p>
            <w:pPr>
              <w:spacing w:line="240" w:lineRule="exact"/>
              <w:rPr>
                <w:rFonts w:ascii="宋体" w:hAnsi="宋体"/>
                <w:sz w:val="18"/>
                <w:szCs w:val="18"/>
              </w:rPr>
            </w:pPr>
            <w:r>
              <w:rPr>
                <w:rFonts w:ascii="宋体" w:hAnsi="宋体"/>
                <w:sz w:val="18"/>
                <w:szCs w:val="18"/>
              </w:rPr>
              <w:t>能源购进、消费与库存</w:t>
            </w:r>
          </w:p>
        </w:tc>
        <w:tc>
          <w:tcPr>
            <w:tcW w:w="625" w:type="dxa"/>
            <w:vAlign w:val="center"/>
          </w:tcPr>
          <w:p>
            <w:pPr>
              <w:pStyle w:val="14"/>
              <w:pBdr>
                <w:bottom w:val="none" w:color="auto" w:sz="0" w:space="0"/>
              </w:pBdr>
              <w:tabs>
                <w:tab w:val="clear" w:pos="4153"/>
                <w:tab w:val="clear" w:pos="8306"/>
              </w:tabs>
              <w:snapToGrid/>
              <w:spacing w:line="240" w:lineRule="exact"/>
              <w:rPr>
                <w:rFonts w:ascii="宋体" w:hAnsi="宋体"/>
              </w:rPr>
            </w:pPr>
            <w:r>
              <w:rPr>
                <w:rFonts w:ascii="宋体" w:hAnsi="宋体"/>
              </w:rPr>
              <w:t>月报</w:t>
            </w:r>
          </w:p>
        </w:tc>
        <w:tc>
          <w:tcPr>
            <w:tcW w:w="1958" w:type="dxa"/>
            <w:vAlign w:val="center"/>
          </w:tcPr>
          <w:p>
            <w:pPr>
              <w:spacing w:line="240" w:lineRule="exact"/>
              <w:rPr>
                <w:rFonts w:ascii="宋体" w:hAnsi="宋体"/>
                <w:sz w:val="18"/>
                <w:szCs w:val="18"/>
              </w:rPr>
            </w:pPr>
            <w:r>
              <w:rPr>
                <w:rFonts w:ascii="宋体" w:hAnsi="宋体"/>
                <w:sz w:val="18"/>
                <w:szCs w:val="18"/>
              </w:rPr>
              <w:t>辖区内规模以上工业法人单位</w:t>
            </w:r>
          </w:p>
        </w:tc>
        <w:tc>
          <w:tcPr>
            <w:tcW w:w="876" w:type="dxa"/>
            <w:vAlign w:val="center"/>
          </w:tcPr>
          <w:p>
            <w:pPr>
              <w:spacing w:line="240" w:lineRule="exact"/>
              <w:jc w:val="center"/>
              <w:rPr>
                <w:rFonts w:ascii="宋体" w:hAnsi="宋体"/>
                <w:sz w:val="18"/>
                <w:szCs w:val="18"/>
              </w:rPr>
            </w:pPr>
            <w:r>
              <w:rPr>
                <w:rFonts w:ascii="宋体" w:hAnsi="宋体"/>
                <w:sz w:val="18"/>
                <w:szCs w:val="18"/>
              </w:rPr>
              <w:t>法人单位</w:t>
            </w:r>
          </w:p>
        </w:tc>
        <w:tc>
          <w:tcPr>
            <w:tcW w:w="1490" w:type="dxa"/>
            <w:vAlign w:val="center"/>
          </w:tcPr>
          <w:p>
            <w:pPr>
              <w:spacing w:line="240" w:lineRule="exact"/>
              <w:ind w:left="2"/>
              <w:rPr>
                <w:rFonts w:ascii="宋体" w:hAnsi="宋体"/>
                <w:sz w:val="18"/>
                <w:szCs w:val="18"/>
              </w:rPr>
            </w:pPr>
            <w:r>
              <w:rPr>
                <w:rFonts w:hint="eastAsia" w:ascii="宋体" w:hAnsi="宋体"/>
                <w:sz w:val="18"/>
                <w:szCs w:val="18"/>
              </w:rPr>
              <w:t>2、10月月后5日，3、4月月后8日，5、6、8、11、12月月后7日，7月月后6日，9月月后9日12:00前网上填报</w:t>
            </w:r>
          </w:p>
        </w:tc>
        <w:tc>
          <w:tcPr>
            <w:tcW w:w="1490" w:type="dxa"/>
            <w:vAlign w:val="center"/>
          </w:tcPr>
          <w:p>
            <w:pPr>
              <w:spacing w:line="240" w:lineRule="exact"/>
              <w:ind w:left="2"/>
              <w:rPr>
                <w:rFonts w:ascii="宋体" w:hAnsi="宋体"/>
                <w:sz w:val="18"/>
                <w:szCs w:val="18"/>
              </w:rPr>
            </w:pPr>
            <w:r>
              <w:rPr>
                <w:rFonts w:hint="eastAsia" w:ascii="宋体" w:hAnsi="宋体"/>
                <w:sz w:val="18"/>
                <w:szCs w:val="18"/>
              </w:rPr>
              <w:t>2、5、6、7、8、10、11月月后9日，3、4、12月月后10日，9月月后12日12:00</w:t>
            </w:r>
          </w:p>
        </w:tc>
        <w:tc>
          <w:tcPr>
            <w:tcW w:w="463" w:type="dxa"/>
            <w:vAlign w:val="center"/>
          </w:tcPr>
          <w:p>
            <w:pPr>
              <w:pStyle w:val="14"/>
              <w:pBdr>
                <w:bottom w:val="none" w:color="auto" w:sz="0" w:space="0"/>
              </w:pBdr>
              <w:tabs>
                <w:tab w:val="clear" w:pos="4153"/>
                <w:tab w:val="clear" w:pos="8306"/>
              </w:tabs>
              <w:snapToGrid/>
              <w:spacing w:line="200" w:lineRule="exact"/>
              <w:rPr>
                <w:rFonts w:ascii="宋体" w:hAnsi="宋体"/>
              </w:rPr>
            </w:pPr>
            <w:r>
              <w:rPr>
                <w:rFonts w:hint="eastAsia" w:ascii="宋体" w:hAnsi="宋体"/>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785" w:hRule="atLeast"/>
          <w:jc w:val="center"/>
        </w:trPr>
        <w:tc>
          <w:tcPr>
            <w:tcW w:w="836" w:type="dxa"/>
            <w:vAlign w:val="center"/>
          </w:tcPr>
          <w:p>
            <w:pPr>
              <w:spacing w:line="240" w:lineRule="exact"/>
              <w:rPr>
                <w:rFonts w:ascii="宋体" w:hAnsi="宋体"/>
                <w:sz w:val="18"/>
                <w:szCs w:val="18"/>
              </w:rPr>
            </w:pPr>
            <w:r>
              <w:rPr>
                <w:rFonts w:ascii="宋体" w:hAnsi="宋体"/>
                <w:sz w:val="18"/>
                <w:szCs w:val="18"/>
              </w:rPr>
              <w:t>205-2表</w:t>
            </w:r>
          </w:p>
        </w:tc>
        <w:tc>
          <w:tcPr>
            <w:tcW w:w="1694" w:type="dxa"/>
            <w:vAlign w:val="center"/>
          </w:tcPr>
          <w:p>
            <w:pPr>
              <w:spacing w:line="240" w:lineRule="exact"/>
              <w:rPr>
                <w:rFonts w:ascii="宋体" w:hAnsi="宋体"/>
                <w:sz w:val="18"/>
                <w:szCs w:val="18"/>
              </w:rPr>
            </w:pPr>
            <w:r>
              <w:rPr>
                <w:rFonts w:ascii="宋体" w:hAnsi="宋体"/>
                <w:sz w:val="18"/>
                <w:szCs w:val="18"/>
              </w:rPr>
              <w:t>能源加工转换与回收利用</w:t>
            </w:r>
          </w:p>
        </w:tc>
        <w:tc>
          <w:tcPr>
            <w:tcW w:w="625" w:type="dxa"/>
            <w:vAlign w:val="center"/>
          </w:tcPr>
          <w:p>
            <w:pPr>
              <w:spacing w:line="240" w:lineRule="exact"/>
              <w:jc w:val="center"/>
              <w:rPr>
                <w:rFonts w:ascii="宋体" w:hAnsi="宋体"/>
                <w:sz w:val="18"/>
                <w:szCs w:val="18"/>
              </w:rPr>
            </w:pPr>
            <w:r>
              <w:rPr>
                <w:rFonts w:ascii="宋体" w:hAnsi="宋体"/>
                <w:sz w:val="18"/>
                <w:szCs w:val="18"/>
              </w:rPr>
              <w:t>月报</w:t>
            </w:r>
          </w:p>
        </w:tc>
        <w:tc>
          <w:tcPr>
            <w:tcW w:w="1958" w:type="dxa"/>
            <w:vAlign w:val="center"/>
          </w:tcPr>
          <w:p>
            <w:pPr>
              <w:spacing w:line="240" w:lineRule="exact"/>
              <w:rPr>
                <w:rFonts w:ascii="宋体" w:hAnsi="宋体"/>
                <w:sz w:val="18"/>
                <w:szCs w:val="18"/>
              </w:rPr>
            </w:pPr>
            <w:r>
              <w:rPr>
                <w:rFonts w:ascii="宋体" w:hAnsi="宋体"/>
                <w:sz w:val="18"/>
                <w:szCs w:val="18"/>
              </w:rPr>
              <w:t>辖区内有能源加工转换或回收利用活动的规模以上工业法人单位</w:t>
            </w:r>
          </w:p>
        </w:tc>
        <w:tc>
          <w:tcPr>
            <w:tcW w:w="876" w:type="dxa"/>
            <w:vAlign w:val="center"/>
          </w:tcPr>
          <w:p>
            <w:pPr>
              <w:spacing w:line="240" w:lineRule="exact"/>
              <w:jc w:val="center"/>
              <w:rPr>
                <w:rFonts w:ascii="宋体" w:hAnsi="宋体"/>
                <w:sz w:val="18"/>
                <w:szCs w:val="18"/>
              </w:rPr>
            </w:pPr>
            <w:r>
              <w:rPr>
                <w:rFonts w:ascii="宋体" w:hAnsi="宋体"/>
                <w:sz w:val="18"/>
                <w:szCs w:val="18"/>
              </w:rPr>
              <w:t>同上</w:t>
            </w:r>
          </w:p>
        </w:tc>
        <w:tc>
          <w:tcPr>
            <w:tcW w:w="1490" w:type="dxa"/>
            <w:vAlign w:val="center"/>
          </w:tcPr>
          <w:p>
            <w:pPr>
              <w:spacing w:line="240" w:lineRule="exact"/>
              <w:jc w:val="center"/>
              <w:rPr>
                <w:rFonts w:ascii="宋体" w:hAnsi="宋体"/>
                <w:sz w:val="18"/>
                <w:szCs w:val="18"/>
              </w:rPr>
            </w:pPr>
            <w:r>
              <w:rPr>
                <w:rFonts w:ascii="宋体" w:hAnsi="宋体"/>
                <w:sz w:val="18"/>
                <w:szCs w:val="18"/>
              </w:rPr>
              <w:t>同上</w:t>
            </w:r>
          </w:p>
        </w:tc>
        <w:tc>
          <w:tcPr>
            <w:tcW w:w="1490" w:type="dxa"/>
            <w:vAlign w:val="center"/>
          </w:tcPr>
          <w:p>
            <w:pPr>
              <w:spacing w:line="200" w:lineRule="exact"/>
              <w:jc w:val="center"/>
              <w:rPr>
                <w:rFonts w:ascii="宋体" w:hAnsi="宋体"/>
                <w:sz w:val="18"/>
                <w:szCs w:val="18"/>
              </w:rPr>
            </w:pPr>
            <w:r>
              <w:rPr>
                <w:rFonts w:ascii="宋体" w:hAnsi="宋体"/>
                <w:sz w:val="18"/>
                <w:szCs w:val="18"/>
              </w:rPr>
              <w:t>同上</w:t>
            </w:r>
          </w:p>
        </w:tc>
        <w:tc>
          <w:tcPr>
            <w:tcW w:w="463" w:type="dxa"/>
            <w:vAlign w:val="center"/>
          </w:tcPr>
          <w:p>
            <w:pPr>
              <w:spacing w:line="200" w:lineRule="exact"/>
              <w:jc w:val="center"/>
              <w:rPr>
                <w:rFonts w:ascii="宋体" w:hAnsi="宋体"/>
                <w:sz w:val="18"/>
                <w:szCs w:val="18"/>
              </w:rPr>
            </w:pPr>
            <w:r>
              <w:rPr>
                <w:rFonts w:hint="eastAsia" w:ascii="宋体" w:hAnsi="宋体"/>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013" w:hRule="atLeast"/>
          <w:jc w:val="center"/>
        </w:trPr>
        <w:tc>
          <w:tcPr>
            <w:tcW w:w="836" w:type="dxa"/>
            <w:vAlign w:val="center"/>
          </w:tcPr>
          <w:p>
            <w:pPr>
              <w:spacing w:line="240" w:lineRule="exact"/>
              <w:rPr>
                <w:rFonts w:ascii="宋体" w:hAnsi="宋体"/>
                <w:sz w:val="18"/>
                <w:szCs w:val="18"/>
              </w:rPr>
            </w:pPr>
            <w:r>
              <w:rPr>
                <w:rFonts w:ascii="宋体" w:hAnsi="宋体"/>
                <w:sz w:val="18"/>
                <w:szCs w:val="18"/>
              </w:rPr>
              <w:t>205-3表</w:t>
            </w:r>
          </w:p>
        </w:tc>
        <w:tc>
          <w:tcPr>
            <w:tcW w:w="1694" w:type="dxa"/>
            <w:vAlign w:val="center"/>
          </w:tcPr>
          <w:p>
            <w:pPr>
              <w:spacing w:line="240" w:lineRule="exact"/>
              <w:rPr>
                <w:rFonts w:ascii="宋体" w:hAnsi="宋体"/>
                <w:sz w:val="18"/>
                <w:szCs w:val="18"/>
              </w:rPr>
            </w:pPr>
            <w:r>
              <w:rPr>
                <w:rFonts w:ascii="宋体" w:hAnsi="宋体"/>
                <w:sz w:val="18"/>
                <w:szCs w:val="18"/>
              </w:rPr>
              <w:t>主要耗能工业企业单位产品能源</w:t>
            </w:r>
            <w:r>
              <w:rPr>
                <w:rFonts w:hint="eastAsia" w:ascii="宋体" w:hAnsi="宋体"/>
                <w:sz w:val="18"/>
                <w:szCs w:val="18"/>
              </w:rPr>
              <w:t>消费</w:t>
            </w:r>
            <w:r>
              <w:rPr>
                <w:rFonts w:ascii="宋体" w:hAnsi="宋体"/>
                <w:sz w:val="18"/>
                <w:szCs w:val="18"/>
              </w:rPr>
              <w:t>情况</w:t>
            </w:r>
          </w:p>
        </w:tc>
        <w:tc>
          <w:tcPr>
            <w:tcW w:w="625" w:type="dxa"/>
            <w:vAlign w:val="center"/>
          </w:tcPr>
          <w:p>
            <w:pPr>
              <w:spacing w:line="240" w:lineRule="exact"/>
              <w:jc w:val="center"/>
              <w:rPr>
                <w:rFonts w:ascii="宋体" w:hAnsi="宋体"/>
                <w:sz w:val="18"/>
                <w:szCs w:val="18"/>
              </w:rPr>
            </w:pPr>
            <w:r>
              <w:rPr>
                <w:rFonts w:ascii="宋体" w:hAnsi="宋体"/>
                <w:sz w:val="18"/>
                <w:szCs w:val="18"/>
              </w:rPr>
              <w:t>季报</w:t>
            </w:r>
          </w:p>
        </w:tc>
        <w:tc>
          <w:tcPr>
            <w:tcW w:w="1958" w:type="dxa"/>
            <w:vAlign w:val="center"/>
          </w:tcPr>
          <w:p>
            <w:pPr>
              <w:spacing w:line="240" w:lineRule="exact"/>
              <w:rPr>
                <w:rFonts w:ascii="宋体" w:hAnsi="宋体"/>
                <w:sz w:val="18"/>
                <w:szCs w:val="18"/>
              </w:rPr>
            </w:pPr>
            <w:r>
              <w:rPr>
                <w:rFonts w:ascii="宋体" w:hAnsi="宋体"/>
                <w:sz w:val="18"/>
                <w:szCs w:val="18"/>
              </w:rPr>
              <w:t>辖区内年综合能源消费量1万吨标准煤及以上的规模以上工业法人单位</w:t>
            </w:r>
          </w:p>
        </w:tc>
        <w:tc>
          <w:tcPr>
            <w:tcW w:w="876" w:type="dxa"/>
            <w:vAlign w:val="center"/>
          </w:tcPr>
          <w:p>
            <w:pPr>
              <w:spacing w:line="240" w:lineRule="exact"/>
              <w:jc w:val="center"/>
              <w:rPr>
                <w:rFonts w:ascii="宋体" w:hAnsi="宋体"/>
                <w:sz w:val="18"/>
                <w:szCs w:val="18"/>
              </w:rPr>
            </w:pPr>
            <w:r>
              <w:rPr>
                <w:rFonts w:ascii="宋体" w:hAnsi="宋体"/>
                <w:sz w:val="18"/>
                <w:szCs w:val="18"/>
              </w:rPr>
              <w:t>同上</w:t>
            </w:r>
          </w:p>
        </w:tc>
        <w:tc>
          <w:tcPr>
            <w:tcW w:w="1490" w:type="dxa"/>
            <w:vAlign w:val="center"/>
          </w:tcPr>
          <w:p>
            <w:pPr>
              <w:spacing w:line="240" w:lineRule="exact"/>
              <w:ind w:left="2"/>
              <w:rPr>
                <w:rFonts w:ascii="宋体" w:hAnsi="宋体"/>
                <w:sz w:val="18"/>
                <w:szCs w:val="18"/>
              </w:rPr>
            </w:pPr>
            <w:r>
              <w:rPr>
                <w:rFonts w:hint="eastAsia" w:ascii="宋体" w:hAnsi="宋体"/>
                <w:sz w:val="18"/>
                <w:szCs w:val="18"/>
              </w:rPr>
              <w:t>一、二季度季后10日，三、四季度季后12日12:00</w:t>
            </w:r>
            <w:r>
              <w:rPr>
                <w:rFonts w:ascii="宋体" w:hAnsi="宋体"/>
                <w:sz w:val="18"/>
                <w:szCs w:val="18"/>
              </w:rPr>
              <w:t>前网上填报</w:t>
            </w:r>
          </w:p>
        </w:tc>
        <w:tc>
          <w:tcPr>
            <w:tcW w:w="1490" w:type="dxa"/>
            <w:vAlign w:val="center"/>
          </w:tcPr>
          <w:p>
            <w:pPr>
              <w:spacing w:line="200" w:lineRule="exact"/>
              <w:rPr>
                <w:rFonts w:ascii="宋体" w:hAnsi="宋体"/>
                <w:sz w:val="18"/>
                <w:szCs w:val="18"/>
              </w:rPr>
            </w:pPr>
            <w:r>
              <w:rPr>
                <w:rFonts w:hint="eastAsia" w:ascii="宋体" w:hAnsi="宋体"/>
                <w:sz w:val="18"/>
                <w:szCs w:val="18"/>
              </w:rPr>
              <w:t>季后13日12:00</w:t>
            </w:r>
          </w:p>
        </w:tc>
        <w:tc>
          <w:tcPr>
            <w:tcW w:w="463" w:type="dxa"/>
            <w:vAlign w:val="center"/>
          </w:tcPr>
          <w:p>
            <w:pPr>
              <w:spacing w:line="200" w:lineRule="exact"/>
              <w:jc w:val="center"/>
              <w:rPr>
                <w:rFonts w:ascii="宋体" w:hAnsi="宋体"/>
                <w:sz w:val="18"/>
                <w:szCs w:val="18"/>
              </w:rPr>
            </w:pPr>
            <w:r>
              <w:rPr>
                <w:rFonts w:hint="eastAsia" w:ascii="宋体" w:hAnsi="宋体"/>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036" w:hRule="atLeast"/>
          <w:jc w:val="center"/>
        </w:trPr>
        <w:tc>
          <w:tcPr>
            <w:tcW w:w="836" w:type="dxa"/>
            <w:vAlign w:val="center"/>
          </w:tcPr>
          <w:p>
            <w:pPr>
              <w:spacing w:line="240" w:lineRule="exact"/>
              <w:rPr>
                <w:rFonts w:ascii="宋体" w:hAnsi="宋体"/>
                <w:sz w:val="18"/>
                <w:szCs w:val="18"/>
              </w:rPr>
            </w:pPr>
            <w:r>
              <w:rPr>
                <w:rFonts w:ascii="宋体" w:hAnsi="宋体"/>
                <w:sz w:val="18"/>
                <w:szCs w:val="18"/>
              </w:rPr>
              <w:t>205-4表</w:t>
            </w:r>
          </w:p>
        </w:tc>
        <w:tc>
          <w:tcPr>
            <w:tcW w:w="1694" w:type="dxa"/>
            <w:vAlign w:val="center"/>
          </w:tcPr>
          <w:p>
            <w:pPr>
              <w:spacing w:line="240" w:lineRule="exact"/>
              <w:rPr>
                <w:rFonts w:ascii="宋体" w:hAnsi="宋体"/>
                <w:sz w:val="18"/>
                <w:szCs w:val="18"/>
              </w:rPr>
            </w:pPr>
            <w:r>
              <w:rPr>
                <w:rFonts w:ascii="宋体" w:hAnsi="宋体"/>
                <w:sz w:val="18"/>
                <w:szCs w:val="18"/>
              </w:rPr>
              <w:t>工业企业用水情况</w:t>
            </w:r>
          </w:p>
        </w:tc>
        <w:tc>
          <w:tcPr>
            <w:tcW w:w="625" w:type="dxa"/>
            <w:vAlign w:val="center"/>
          </w:tcPr>
          <w:p>
            <w:pPr>
              <w:spacing w:line="240" w:lineRule="exact"/>
              <w:jc w:val="center"/>
              <w:rPr>
                <w:rFonts w:ascii="宋体" w:hAnsi="宋体"/>
                <w:sz w:val="18"/>
                <w:szCs w:val="18"/>
              </w:rPr>
            </w:pPr>
            <w:r>
              <w:rPr>
                <w:rFonts w:ascii="宋体" w:hAnsi="宋体"/>
                <w:sz w:val="18"/>
                <w:szCs w:val="18"/>
              </w:rPr>
              <w:t>半年报</w:t>
            </w:r>
          </w:p>
        </w:tc>
        <w:tc>
          <w:tcPr>
            <w:tcW w:w="1958" w:type="dxa"/>
            <w:vAlign w:val="center"/>
          </w:tcPr>
          <w:p>
            <w:pPr>
              <w:pStyle w:val="14"/>
              <w:pBdr>
                <w:bottom w:val="none" w:color="auto" w:sz="0" w:space="0"/>
              </w:pBdr>
              <w:tabs>
                <w:tab w:val="clear" w:pos="4153"/>
                <w:tab w:val="clear" w:pos="8306"/>
              </w:tabs>
              <w:snapToGrid/>
              <w:spacing w:line="240" w:lineRule="exact"/>
              <w:jc w:val="both"/>
              <w:rPr>
                <w:rFonts w:ascii="宋体" w:hAnsi="宋体"/>
              </w:rPr>
            </w:pPr>
            <w:r>
              <w:rPr>
                <w:rFonts w:ascii="宋体" w:hAnsi="宋体"/>
              </w:rPr>
              <w:t>辖区内规模以上工业法人单位</w:t>
            </w:r>
          </w:p>
        </w:tc>
        <w:tc>
          <w:tcPr>
            <w:tcW w:w="876" w:type="dxa"/>
            <w:vAlign w:val="center"/>
          </w:tcPr>
          <w:p>
            <w:pPr>
              <w:spacing w:line="240" w:lineRule="exact"/>
              <w:jc w:val="center"/>
              <w:rPr>
                <w:rFonts w:ascii="宋体" w:hAnsi="宋体"/>
                <w:sz w:val="18"/>
                <w:szCs w:val="18"/>
              </w:rPr>
            </w:pPr>
            <w:r>
              <w:rPr>
                <w:rFonts w:ascii="宋体" w:hAnsi="宋体"/>
                <w:sz w:val="18"/>
                <w:szCs w:val="18"/>
              </w:rPr>
              <w:t>同上</w:t>
            </w:r>
          </w:p>
        </w:tc>
        <w:tc>
          <w:tcPr>
            <w:tcW w:w="1490" w:type="dxa"/>
            <w:vAlign w:val="center"/>
          </w:tcPr>
          <w:p>
            <w:pPr>
              <w:spacing w:line="240" w:lineRule="exact"/>
              <w:ind w:left="2"/>
              <w:rPr>
                <w:rFonts w:ascii="宋体" w:hAnsi="宋体"/>
                <w:sz w:val="18"/>
                <w:szCs w:val="18"/>
              </w:rPr>
            </w:pPr>
            <w:r>
              <w:rPr>
                <w:rFonts w:hint="eastAsia" w:ascii="宋体" w:hAnsi="宋体"/>
                <w:sz w:val="18"/>
                <w:szCs w:val="18"/>
              </w:rPr>
              <w:t>上半年7月9日、下半年次年1月</w:t>
            </w:r>
            <w:r>
              <w:rPr>
                <w:rFonts w:ascii="宋体" w:hAnsi="宋体"/>
                <w:sz w:val="18"/>
                <w:szCs w:val="18"/>
              </w:rPr>
              <w:t>10</w:t>
            </w:r>
            <w:r>
              <w:rPr>
                <w:rFonts w:hint="eastAsia" w:ascii="宋体" w:hAnsi="宋体"/>
                <w:sz w:val="18"/>
                <w:szCs w:val="18"/>
              </w:rPr>
              <w:t>日12:00前</w:t>
            </w:r>
            <w:r>
              <w:rPr>
                <w:rFonts w:ascii="宋体" w:hAnsi="宋体"/>
                <w:sz w:val="18"/>
                <w:szCs w:val="18"/>
              </w:rPr>
              <w:t>网上填报</w:t>
            </w:r>
          </w:p>
        </w:tc>
        <w:tc>
          <w:tcPr>
            <w:tcW w:w="1490" w:type="dxa"/>
            <w:vAlign w:val="center"/>
          </w:tcPr>
          <w:p>
            <w:pPr>
              <w:spacing w:line="200" w:lineRule="exact"/>
              <w:rPr>
                <w:rFonts w:ascii="宋体" w:hAnsi="宋体"/>
                <w:sz w:val="18"/>
                <w:szCs w:val="18"/>
              </w:rPr>
            </w:pPr>
            <w:r>
              <w:rPr>
                <w:rFonts w:hint="eastAsia" w:ascii="宋体" w:hAnsi="宋体"/>
                <w:sz w:val="18"/>
                <w:szCs w:val="18"/>
              </w:rPr>
              <w:t>上半年7月14日、下半年次年1月15日12:00</w:t>
            </w:r>
          </w:p>
        </w:tc>
        <w:tc>
          <w:tcPr>
            <w:tcW w:w="463" w:type="dxa"/>
            <w:vAlign w:val="center"/>
          </w:tcPr>
          <w:p>
            <w:pPr>
              <w:spacing w:line="200" w:lineRule="exact"/>
              <w:jc w:val="center"/>
              <w:rPr>
                <w:rFonts w:ascii="宋体" w:hAnsi="宋体"/>
                <w:sz w:val="18"/>
                <w:szCs w:val="18"/>
              </w:rPr>
            </w:pPr>
            <w:r>
              <w:rPr>
                <w:rFonts w:hint="eastAsia" w:ascii="宋体" w:hAnsi="宋体"/>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984" w:hRule="atLeast"/>
          <w:jc w:val="center"/>
        </w:trPr>
        <w:tc>
          <w:tcPr>
            <w:tcW w:w="836" w:type="dxa"/>
            <w:vAlign w:val="center"/>
          </w:tcPr>
          <w:p>
            <w:pPr>
              <w:spacing w:line="240" w:lineRule="exact"/>
              <w:rPr>
                <w:rFonts w:ascii="宋体" w:hAnsi="宋体"/>
                <w:sz w:val="18"/>
                <w:szCs w:val="18"/>
              </w:rPr>
            </w:pPr>
            <w:r>
              <w:rPr>
                <w:rFonts w:ascii="宋体" w:hAnsi="宋体"/>
                <w:sz w:val="18"/>
                <w:szCs w:val="18"/>
              </w:rPr>
              <w:t>205-5表</w:t>
            </w:r>
          </w:p>
        </w:tc>
        <w:tc>
          <w:tcPr>
            <w:tcW w:w="1694" w:type="dxa"/>
            <w:vAlign w:val="center"/>
          </w:tcPr>
          <w:p>
            <w:pPr>
              <w:spacing w:line="240" w:lineRule="exact"/>
              <w:rPr>
                <w:rFonts w:ascii="宋体" w:hAnsi="宋体"/>
                <w:sz w:val="18"/>
                <w:szCs w:val="18"/>
              </w:rPr>
            </w:pPr>
            <w:r>
              <w:rPr>
                <w:rFonts w:ascii="宋体" w:hAnsi="宋体"/>
                <w:sz w:val="18"/>
                <w:szCs w:val="18"/>
              </w:rPr>
              <w:t>非工业重点耗能单位能源消费情况</w:t>
            </w:r>
          </w:p>
        </w:tc>
        <w:tc>
          <w:tcPr>
            <w:tcW w:w="625" w:type="dxa"/>
            <w:vAlign w:val="center"/>
          </w:tcPr>
          <w:p>
            <w:pPr>
              <w:spacing w:line="240" w:lineRule="exact"/>
              <w:jc w:val="center"/>
              <w:rPr>
                <w:rFonts w:ascii="宋体" w:hAnsi="宋体"/>
                <w:sz w:val="18"/>
                <w:szCs w:val="18"/>
              </w:rPr>
            </w:pPr>
            <w:r>
              <w:rPr>
                <w:rFonts w:ascii="宋体" w:hAnsi="宋体"/>
                <w:sz w:val="18"/>
                <w:szCs w:val="18"/>
              </w:rPr>
              <w:t>季报</w:t>
            </w:r>
          </w:p>
        </w:tc>
        <w:tc>
          <w:tcPr>
            <w:tcW w:w="1958" w:type="dxa"/>
            <w:vAlign w:val="center"/>
          </w:tcPr>
          <w:p>
            <w:pPr>
              <w:pStyle w:val="14"/>
              <w:pBdr>
                <w:bottom w:val="none" w:color="auto" w:sz="0" w:space="0"/>
              </w:pBdr>
              <w:tabs>
                <w:tab w:val="clear" w:pos="4153"/>
                <w:tab w:val="clear" w:pos="8306"/>
              </w:tabs>
              <w:snapToGrid/>
              <w:spacing w:line="240" w:lineRule="exact"/>
              <w:jc w:val="both"/>
              <w:rPr>
                <w:rFonts w:ascii="宋体" w:hAnsi="宋体"/>
              </w:rPr>
            </w:pPr>
            <w:r>
              <w:rPr>
                <w:rFonts w:ascii="宋体" w:hAnsi="宋体"/>
              </w:rPr>
              <w:t>辖区内年综合能源消费量1万吨标准煤及以上的有资质的建筑业、限额以上批发和零售业、限额以上住宿和餐饮业、</w:t>
            </w:r>
            <w:r>
              <w:rPr>
                <w:rFonts w:hint="eastAsia" w:ascii="宋体" w:hAnsi="宋体"/>
              </w:rPr>
              <w:t>有开发经营活动的全部房地产开发经营业</w:t>
            </w:r>
            <w:r>
              <w:rPr>
                <w:rFonts w:ascii="宋体" w:hAnsi="宋体"/>
              </w:rPr>
              <w:t>和规模以上服务业法人单位</w:t>
            </w:r>
          </w:p>
        </w:tc>
        <w:tc>
          <w:tcPr>
            <w:tcW w:w="876" w:type="dxa"/>
            <w:vAlign w:val="center"/>
          </w:tcPr>
          <w:p>
            <w:pPr>
              <w:spacing w:line="240" w:lineRule="exact"/>
              <w:jc w:val="center"/>
              <w:rPr>
                <w:rFonts w:ascii="宋体" w:hAnsi="宋体"/>
                <w:sz w:val="18"/>
                <w:szCs w:val="18"/>
              </w:rPr>
            </w:pPr>
            <w:r>
              <w:rPr>
                <w:rFonts w:ascii="宋体" w:hAnsi="宋体"/>
                <w:sz w:val="18"/>
                <w:szCs w:val="18"/>
              </w:rPr>
              <w:t>同上</w:t>
            </w:r>
          </w:p>
        </w:tc>
        <w:tc>
          <w:tcPr>
            <w:tcW w:w="1490" w:type="dxa"/>
            <w:vAlign w:val="center"/>
          </w:tcPr>
          <w:p>
            <w:pPr>
              <w:spacing w:line="240" w:lineRule="exact"/>
              <w:ind w:left="2"/>
              <w:rPr>
                <w:rFonts w:ascii="宋体" w:hAnsi="宋体"/>
                <w:sz w:val="18"/>
                <w:szCs w:val="18"/>
              </w:rPr>
            </w:pPr>
            <w:r>
              <w:rPr>
                <w:rFonts w:hint="eastAsia" w:ascii="宋体" w:hAnsi="宋体"/>
                <w:sz w:val="18"/>
                <w:szCs w:val="18"/>
              </w:rPr>
              <w:t>一、二季度季后10日，三、四季度季后12日12:00</w:t>
            </w:r>
            <w:r>
              <w:rPr>
                <w:rFonts w:ascii="宋体" w:hAnsi="宋体"/>
                <w:sz w:val="18"/>
                <w:szCs w:val="18"/>
              </w:rPr>
              <w:t>前网上填报</w:t>
            </w:r>
          </w:p>
        </w:tc>
        <w:tc>
          <w:tcPr>
            <w:tcW w:w="1490" w:type="dxa"/>
            <w:vAlign w:val="center"/>
          </w:tcPr>
          <w:p>
            <w:pPr>
              <w:spacing w:line="200" w:lineRule="exact"/>
              <w:jc w:val="left"/>
              <w:rPr>
                <w:rFonts w:ascii="宋体" w:hAnsi="宋体"/>
                <w:sz w:val="18"/>
                <w:szCs w:val="18"/>
              </w:rPr>
            </w:pPr>
            <w:r>
              <w:rPr>
                <w:rFonts w:hint="eastAsia" w:ascii="宋体" w:hAnsi="宋体"/>
                <w:sz w:val="18"/>
                <w:szCs w:val="18"/>
              </w:rPr>
              <w:t>季后13日12:00</w:t>
            </w:r>
          </w:p>
        </w:tc>
        <w:tc>
          <w:tcPr>
            <w:tcW w:w="463" w:type="dxa"/>
            <w:vAlign w:val="center"/>
          </w:tcPr>
          <w:p>
            <w:pPr>
              <w:spacing w:line="200" w:lineRule="exact"/>
              <w:jc w:val="center"/>
              <w:rPr>
                <w:rFonts w:ascii="宋体" w:hAnsi="宋体"/>
                <w:sz w:val="18"/>
                <w:szCs w:val="18"/>
              </w:rPr>
            </w:pPr>
            <w:r>
              <w:rPr>
                <w:rFonts w:hint="eastAsia" w:ascii="宋体" w:hAnsi="宋体"/>
                <w:sz w:val="18"/>
                <w:szCs w:val="18"/>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733" w:hRule="atLeast"/>
          <w:jc w:val="center"/>
        </w:trPr>
        <w:tc>
          <w:tcPr>
            <w:tcW w:w="836" w:type="dxa"/>
            <w:tcBorders>
              <w:bottom w:val="single" w:color="auto" w:sz="2" w:space="0"/>
            </w:tcBorders>
            <w:vAlign w:val="center"/>
          </w:tcPr>
          <w:p>
            <w:pPr>
              <w:spacing w:line="240" w:lineRule="exact"/>
              <w:rPr>
                <w:rFonts w:ascii="宋体" w:hAnsi="宋体"/>
                <w:sz w:val="18"/>
                <w:szCs w:val="18"/>
              </w:rPr>
            </w:pPr>
            <w:r>
              <w:rPr>
                <w:rFonts w:ascii="宋体" w:hAnsi="宋体"/>
                <w:sz w:val="18"/>
                <w:szCs w:val="18"/>
              </w:rPr>
              <w:t>205-6表</w:t>
            </w:r>
          </w:p>
        </w:tc>
        <w:tc>
          <w:tcPr>
            <w:tcW w:w="1694" w:type="dxa"/>
            <w:tcBorders>
              <w:bottom w:val="single" w:color="auto" w:sz="2" w:space="0"/>
            </w:tcBorders>
            <w:vAlign w:val="center"/>
          </w:tcPr>
          <w:p>
            <w:pPr>
              <w:spacing w:line="240" w:lineRule="exact"/>
              <w:rPr>
                <w:rFonts w:ascii="宋体" w:hAnsi="宋体"/>
                <w:sz w:val="18"/>
                <w:szCs w:val="18"/>
              </w:rPr>
            </w:pPr>
            <w:r>
              <w:rPr>
                <w:rFonts w:ascii="宋体" w:hAnsi="宋体"/>
                <w:sz w:val="18"/>
                <w:szCs w:val="18"/>
              </w:rPr>
              <w:t>能源生产、销售与库存</w:t>
            </w:r>
          </w:p>
        </w:tc>
        <w:tc>
          <w:tcPr>
            <w:tcW w:w="625" w:type="dxa"/>
            <w:tcBorders>
              <w:bottom w:val="single" w:color="auto" w:sz="2" w:space="0"/>
            </w:tcBorders>
            <w:vAlign w:val="center"/>
          </w:tcPr>
          <w:p>
            <w:pPr>
              <w:spacing w:line="240" w:lineRule="exact"/>
              <w:jc w:val="center"/>
              <w:rPr>
                <w:rFonts w:ascii="宋体" w:hAnsi="宋体"/>
                <w:sz w:val="18"/>
                <w:szCs w:val="18"/>
              </w:rPr>
            </w:pPr>
            <w:r>
              <w:rPr>
                <w:rFonts w:ascii="宋体" w:hAnsi="宋体"/>
                <w:sz w:val="18"/>
                <w:szCs w:val="18"/>
              </w:rPr>
              <w:t>月报</w:t>
            </w:r>
          </w:p>
        </w:tc>
        <w:tc>
          <w:tcPr>
            <w:tcW w:w="1958" w:type="dxa"/>
            <w:tcBorders>
              <w:bottom w:val="single" w:color="auto" w:sz="2" w:space="0"/>
            </w:tcBorders>
            <w:vAlign w:val="center"/>
          </w:tcPr>
          <w:p>
            <w:pPr>
              <w:pStyle w:val="14"/>
              <w:pBdr>
                <w:bottom w:val="none" w:color="auto" w:sz="0" w:space="0"/>
              </w:pBdr>
              <w:tabs>
                <w:tab w:val="clear" w:pos="4153"/>
                <w:tab w:val="clear" w:pos="8306"/>
              </w:tabs>
              <w:snapToGrid/>
              <w:spacing w:line="240" w:lineRule="exact"/>
              <w:jc w:val="both"/>
              <w:rPr>
                <w:rFonts w:ascii="宋体" w:hAnsi="宋体"/>
              </w:rPr>
            </w:pPr>
            <w:r>
              <w:rPr>
                <w:rFonts w:ascii="宋体" w:hAnsi="宋体"/>
              </w:rPr>
              <w:t>辖区内规模以上工业、有资质的建筑业、限额以上批发和零售业、限额以上住宿和餐饮业、</w:t>
            </w:r>
            <w:r>
              <w:rPr>
                <w:rFonts w:hint="eastAsia" w:ascii="宋体" w:hAnsi="宋体"/>
              </w:rPr>
              <w:t>有开发经营活动的全部房地产开发经营业</w:t>
            </w:r>
            <w:r>
              <w:rPr>
                <w:rFonts w:ascii="宋体" w:hAnsi="宋体"/>
              </w:rPr>
              <w:t>和规模以上服务业</w:t>
            </w:r>
            <w:r>
              <w:rPr>
                <w:rFonts w:hint="eastAsia" w:ascii="宋体" w:hAnsi="宋体"/>
              </w:rPr>
              <w:t>等重点</w:t>
            </w:r>
            <w:r>
              <w:rPr>
                <w:rFonts w:ascii="宋体" w:hAnsi="宋体"/>
              </w:rPr>
              <w:t>法人单位</w:t>
            </w:r>
          </w:p>
        </w:tc>
        <w:tc>
          <w:tcPr>
            <w:tcW w:w="876" w:type="dxa"/>
            <w:tcBorders>
              <w:bottom w:val="single" w:color="auto" w:sz="2" w:space="0"/>
            </w:tcBorders>
            <w:vAlign w:val="center"/>
          </w:tcPr>
          <w:p>
            <w:pPr>
              <w:spacing w:line="240" w:lineRule="exact"/>
              <w:jc w:val="center"/>
              <w:rPr>
                <w:rFonts w:ascii="宋体" w:hAnsi="宋体"/>
                <w:sz w:val="18"/>
                <w:szCs w:val="18"/>
              </w:rPr>
            </w:pPr>
            <w:r>
              <w:rPr>
                <w:rFonts w:ascii="宋体" w:hAnsi="宋体"/>
                <w:sz w:val="18"/>
                <w:szCs w:val="18"/>
              </w:rPr>
              <w:t>同上</w:t>
            </w:r>
          </w:p>
        </w:tc>
        <w:tc>
          <w:tcPr>
            <w:tcW w:w="1490" w:type="dxa"/>
            <w:tcBorders>
              <w:bottom w:val="single" w:color="auto" w:sz="2" w:space="0"/>
            </w:tcBorders>
            <w:vAlign w:val="center"/>
          </w:tcPr>
          <w:p>
            <w:pPr>
              <w:spacing w:line="240" w:lineRule="exact"/>
              <w:ind w:left="2"/>
              <w:rPr>
                <w:rFonts w:ascii="宋体" w:hAnsi="宋体"/>
                <w:sz w:val="18"/>
                <w:szCs w:val="18"/>
              </w:rPr>
            </w:pPr>
            <w:r>
              <w:rPr>
                <w:rFonts w:hint="eastAsia" w:ascii="宋体" w:hAnsi="宋体"/>
                <w:sz w:val="18"/>
                <w:szCs w:val="18"/>
              </w:rPr>
              <w:t>2、10月月后5日，3、4月月后8日，5、6、8、11、12月月后7日，7月月后6日，9月月后9日12:00前网上填报</w:t>
            </w:r>
          </w:p>
        </w:tc>
        <w:tc>
          <w:tcPr>
            <w:tcW w:w="1490" w:type="dxa"/>
            <w:tcBorders>
              <w:bottom w:val="single" w:color="auto" w:sz="2" w:space="0"/>
            </w:tcBorders>
            <w:vAlign w:val="center"/>
          </w:tcPr>
          <w:p>
            <w:pPr>
              <w:spacing w:line="240" w:lineRule="exact"/>
              <w:ind w:left="2"/>
              <w:rPr>
                <w:rFonts w:ascii="宋体" w:hAnsi="宋体"/>
                <w:sz w:val="18"/>
                <w:szCs w:val="18"/>
              </w:rPr>
            </w:pPr>
            <w:r>
              <w:rPr>
                <w:rFonts w:hint="eastAsia" w:ascii="宋体" w:hAnsi="宋体"/>
                <w:sz w:val="18"/>
                <w:szCs w:val="18"/>
              </w:rPr>
              <w:t>2、5、6、7、8、10、11月月后9日，3、4、12月月后10日，9月月后12日12:00</w:t>
            </w:r>
          </w:p>
        </w:tc>
        <w:tc>
          <w:tcPr>
            <w:tcW w:w="463" w:type="dxa"/>
            <w:tcBorders>
              <w:bottom w:val="single" w:color="auto" w:sz="2" w:space="0"/>
            </w:tcBorders>
            <w:vAlign w:val="center"/>
          </w:tcPr>
          <w:p>
            <w:pPr>
              <w:spacing w:line="200" w:lineRule="exact"/>
              <w:jc w:val="center"/>
              <w:rPr>
                <w:rFonts w:ascii="宋体" w:hAnsi="宋体"/>
                <w:sz w:val="18"/>
                <w:szCs w:val="18"/>
              </w:rPr>
            </w:pPr>
            <w:r>
              <w:rPr>
                <w:rFonts w:hint="eastAsia" w:ascii="宋体" w:hAnsi="宋体"/>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750" w:hRule="atLeast"/>
          <w:jc w:val="center"/>
        </w:trPr>
        <w:tc>
          <w:tcPr>
            <w:tcW w:w="836" w:type="dxa"/>
            <w:tcBorders>
              <w:top w:val="single" w:color="auto" w:sz="2" w:space="0"/>
              <w:bottom w:val="single" w:color="auto" w:sz="8" w:space="0"/>
            </w:tcBorders>
            <w:vAlign w:val="center"/>
          </w:tcPr>
          <w:p>
            <w:pPr>
              <w:spacing w:line="240" w:lineRule="exact"/>
              <w:rPr>
                <w:rFonts w:ascii="宋体" w:hAnsi="宋体"/>
                <w:sz w:val="18"/>
                <w:szCs w:val="18"/>
              </w:rPr>
            </w:pPr>
            <w:r>
              <w:rPr>
                <w:rFonts w:ascii="宋体" w:hAnsi="宋体"/>
                <w:sz w:val="18"/>
                <w:szCs w:val="18"/>
              </w:rPr>
              <w:t>205-7表</w:t>
            </w:r>
          </w:p>
        </w:tc>
        <w:tc>
          <w:tcPr>
            <w:tcW w:w="1694" w:type="dxa"/>
            <w:tcBorders>
              <w:top w:val="single" w:color="auto" w:sz="2" w:space="0"/>
              <w:bottom w:val="single" w:color="auto" w:sz="8" w:space="0"/>
            </w:tcBorders>
            <w:vAlign w:val="center"/>
          </w:tcPr>
          <w:p>
            <w:pPr>
              <w:spacing w:line="240" w:lineRule="exact"/>
              <w:rPr>
                <w:rFonts w:ascii="宋体" w:hAnsi="宋体"/>
                <w:sz w:val="18"/>
                <w:szCs w:val="18"/>
              </w:rPr>
            </w:pPr>
            <w:r>
              <w:rPr>
                <w:rFonts w:ascii="宋体" w:hAnsi="宋体"/>
                <w:sz w:val="18"/>
                <w:szCs w:val="18"/>
              </w:rPr>
              <w:t>重点能源商品经销情况</w:t>
            </w:r>
          </w:p>
        </w:tc>
        <w:tc>
          <w:tcPr>
            <w:tcW w:w="625" w:type="dxa"/>
            <w:tcBorders>
              <w:top w:val="single" w:color="auto" w:sz="2" w:space="0"/>
              <w:bottom w:val="single" w:color="auto" w:sz="8" w:space="0"/>
            </w:tcBorders>
            <w:vAlign w:val="center"/>
          </w:tcPr>
          <w:p>
            <w:pPr>
              <w:spacing w:line="240" w:lineRule="exact"/>
              <w:jc w:val="center"/>
              <w:rPr>
                <w:rFonts w:ascii="宋体" w:hAnsi="宋体"/>
                <w:sz w:val="18"/>
                <w:szCs w:val="18"/>
              </w:rPr>
            </w:pPr>
            <w:r>
              <w:rPr>
                <w:rFonts w:ascii="宋体" w:hAnsi="宋体"/>
                <w:sz w:val="18"/>
                <w:szCs w:val="18"/>
              </w:rPr>
              <w:t>月报</w:t>
            </w:r>
          </w:p>
        </w:tc>
        <w:tc>
          <w:tcPr>
            <w:tcW w:w="1958" w:type="dxa"/>
            <w:tcBorders>
              <w:top w:val="single" w:color="auto" w:sz="2" w:space="0"/>
              <w:bottom w:val="single" w:color="auto" w:sz="8" w:space="0"/>
            </w:tcBorders>
            <w:vAlign w:val="center"/>
          </w:tcPr>
          <w:p>
            <w:pPr>
              <w:pStyle w:val="14"/>
              <w:pBdr>
                <w:bottom w:val="none" w:color="auto" w:sz="0" w:space="0"/>
              </w:pBdr>
              <w:tabs>
                <w:tab w:val="clear" w:pos="4153"/>
                <w:tab w:val="clear" w:pos="8306"/>
              </w:tabs>
              <w:snapToGrid/>
              <w:spacing w:line="240" w:lineRule="exact"/>
              <w:jc w:val="both"/>
              <w:rPr>
                <w:rFonts w:ascii="宋体" w:hAnsi="宋体"/>
              </w:rPr>
            </w:pPr>
            <w:r>
              <w:rPr>
                <w:rFonts w:ascii="宋体" w:hAnsi="宋体"/>
              </w:rPr>
              <w:t>辖区内有资质的建筑业、限额以上批发和零售业、限额以上住宿和餐饮业、</w:t>
            </w:r>
            <w:r>
              <w:rPr>
                <w:rFonts w:hint="eastAsia" w:ascii="宋体" w:hAnsi="宋体"/>
              </w:rPr>
              <w:t>有开发经营活动的全部房地产开发经营业</w:t>
            </w:r>
            <w:r>
              <w:rPr>
                <w:rFonts w:ascii="宋体" w:hAnsi="宋体"/>
              </w:rPr>
              <w:t>和规模以上服务业</w:t>
            </w:r>
            <w:r>
              <w:rPr>
                <w:rFonts w:hint="eastAsia" w:ascii="宋体" w:hAnsi="宋体"/>
              </w:rPr>
              <w:t>等重点</w:t>
            </w:r>
            <w:r>
              <w:rPr>
                <w:rFonts w:ascii="宋体" w:hAnsi="宋体"/>
              </w:rPr>
              <w:t>法人单位</w:t>
            </w:r>
          </w:p>
        </w:tc>
        <w:tc>
          <w:tcPr>
            <w:tcW w:w="876" w:type="dxa"/>
            <w:tcBorders>
              <w:top w:val="single" w:color="auto" w:sz="2" w:space="0"/>
              <w:bottom w:val="single" w:color="auto" w:sz="8" w:space="0"/>
            </w:tcBorders>
            <w:vAlign w:val="center"/>
          </w:tcPr>
          <w:p>
            <w:pPr>
              <w:spacing w:line="240" w:lineRule="exact"/>
              <w:jc w:val="center"/>
              <w:rPr>
                <w:rFonts w:ascii="宋体" w:hAnsi="宋体"/>
                <w:sz w:val="18"/>
                <w:szCs w:val="18"/>
              </w:rPr>
            </w:pPr>
            <w:r>
              <w:rPr>
                <w:rFonts w:ascii="宋体" w:hAnsi="宋体"/>
                <w:sz w:val="18"/>
                <w:szCs w:val="18"/>
              </w:rPr>
              <w:t>同上</w:t>
            </w:r>
          </w:p>
        </w:tc>
        <w:tc>
          <w:tcPr>
            <w:tcW w:w="1490" w:type="dxa"/>
            <w:tcBorders>
              <w:top w:val="single" w:color="auto" w:sz="2" w:space="0"/>
              <w:bottom w:val="single" w:color="auto" w:sz="8" w:space="0"/>
            </w:tcBorders>
            <w:vAlign w:val="center"/>
          </w:tcPr>
          <w:p>
            <w:pPr>
              <w:spacing w:line="240" w:lineRule="exact"/>
              <w:jc w:val="center"/>
              <w:rPr>
                <w:rFonts w:ascii="宋体" w:hAnsi="宋体"/>
                <w:sz w:val="18"/>
                <w:szCs w:val="18"/>
              </w:rPr>
            </w:pPr>
            <w:r>
              <w:rPr>
                <w:rFonts w:ascii="宋体" w:hAnsi="宋体"/>
                <w:sz w:val="18"/>
                <w:szCs w:val="18"/>
              </w:rPr>
              <w:t>同上</w:t>
            </w:r>
          </w:p>
        </w:tc>
        <w:tc>
          <w:tcPr>
            <w:tcW w:w="1490" w:type="dxa"/>
            <w:tcBorders>
              <w:top w:val="single" w:color="auto" w:sz="2" w:space="0"/>
              <w:bottom w:val="single" w:color="auto" w:sz="8" w:space="0"/>
            </w:tcBorders>
            <w:vAlign w:val="center"/>
          </w:tcPr>
          <w:p>
            <w:pPr>
              <w:spacing w:line="200" w:lineRule="exact"/>
              <w:jc w:val="center"/>
              <w:rPr>
                <w:rFonts w:ascii="宋体" w:hAnsi="宋体"/>
                <w:sz w:val="18"/>
                <w:szCs w:val="18"/>
              </w:rPr>
            </w:pPr>
            <w:r>
              <w:rPr>
                <w:rFonts w:ascii="宋体" w:hAnsi="宋体"/>
                <w:sz w:val="18"/>
                <w:szCs w:val="18"/>
              </w:rPr>
              <w:t>同上</w:t>
            </w:r>
          </w:p>
        </w:tc>
        <w:tc>
          <w:tcPr>
            <w:tcW w:w="463" w:type="dxa"/>
            <w:tcBorders>
              <w:top w:val="single" w:color="auto" w:sz="2" w:space="0"/>
              <w:bottom w:val="single" w:color="auto" w:sz="8" w:space="0"/>
            </w:tcBorders>
            <w:vAlign w:val="center"/>
          </w:tcPr>
          <w:p>
            <w:pPr>
              <w:spacing w:line="200" w:lineRule="exact"/>
              <w:jc w:val="center"/>
              <w:rPr>
                <w:rFonts w:ascii="宋体" w:hAnsi="宋体"/>
                <w:sz w:val="18"/>
                <w:szCs w:val="18"/>
              </w:rPr>
            </w:pPr>
            <w:r>
              <w:rPr>
                <w:rFonts w:hint="eastAsia" w:ascii="宋体" w:hAnsi="宋体"/>
                <w:sz w:val="18"/>
                <w:szCs w:val="18"/>
              </w:rPr>
              <w:t>13</w:t>
            </w:r>
          </w:p>
        </w:tc>
      </w:tr>
    </w:tbl>
    <w:p>
      <w:r>
        <w:br w:type="page"/>
      </w:r>
    </w:p>
    <w:p/>
    <w:tbl>
      <w:tblPr>
        <w:tblStyle w:val="25"/>
        <w:tblW w:w="944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838"/>
        <w:gridCol w:w="1685"/>
        <w:gridCol w:w="579"/>
        <w:gridCol w:w="2632"/>
        <w:gridCol w:w="1629"/>
        <w:gridCol w:w="1575"/>
        <w:gridCol w:w="50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680" w:hRule="atLeast"/>
          <w:jc w:val="center"/>
        </w:trPr>
        <w:tc>
          <w:tcPr>
            <w:tcW w:w="838" w:type="dxa"/>
            <w:vAlign w:val="center"/>
          </w:tcPr>
          <w:p>
            <w:pPr>
              <w:spacing w:line="200" w:lineRule="exact"/>
              <w:jc w:val="center"/>
              <w:rPr>
                <w:rFonts w:ascii="宋体" w:hAnsi="宋体"/>
                <w:sz w:val="18"/>
                <w:szCs w:val="18"/>
              </w:rPr>
            </w:pPr>
            <w:r>
              <w:rPr>
                <w:rFonts w:ascii="宋体" w:hAnsi="宋体"/>
                <w:sz w:val="18"/>
                <w:szCs w:val="18"/>
              </w:rPr>
              <w:t>表号</w:t>
            </w:r>
          </w:p>
        </w:tc>
        <w:tc>
          <w:tcPr>
            <w:tcW w:w="1685" w:type="dxa"/>
            <w:vAlign w:val="center"/>
          </w:tcPr>
          <w:p>
            <w:pPr>
              <w:spacing w:line="200" w:lineRule="exact"/>
              <w:jc w:val="center"/>
              <w:rPr>
                <w:rFonts w:ascii="宋体" w:hAnsi="宋体"/>
                <w:sz w:val="18"/>
                <w:szCs w:val="18"/>
              </w:rPr>
            </w:pPr>
            <w:r>
              <w:rPr>
                <w:rFonts w:ascii="宋体" w:hAnsi="宋体"/>
                <w:sz w:val="18"/>
                <w:szCs w:val="18"/>
              </w:rPr>
              <w:t>表名</w:t>
            </w:r>
          </w:p>
        </w:tc>
        <w:tc>
          <w:tcPr>
            <w:tcW w:w="579" w:type="dxa"/>
            <w:vAlign w:val="center"/>
          </w:tcPr>
          <w:p>
            <w:pPr>
              <w:spacing w:line="200" w:lineRule="exact"/>
              <w:jc w:val="center"/>
              <w:rPr>
                <w:rFonts w:ascii="宋体" w:hAnsi="宋体"/>
                <w:sz w:val="18"/>
                <w:szCs w:val="18"/>
              </w:rPr>
            </w:pPr>
            <w:r>
              <w:rPr>
                <w:rFonts w:ascii="宋体" w:hAnsi="宋体"/>
                <w:sz w:val="18"/>
                <w:szCs w:val="18"/>
              </w:rPr>
              <w:t>报告</w:t>
            </w:r>
          </w:p>
          <w:p>
            <w:pPr>
              <w:spacing w:line="200" w:lineRule="exact"/>
              <w:jc w:val="center"/>
              <w:rPr>
                <w:rFonts w:ascii="宋体" w:hAnsi="宋体"/>
                <w:sz w:val="18"/>
                <w:szCs w:val="18"/>
              </w:rPr>
            </w:pPr>
            <w:r>
              <w:rPr>
                <w:rFonts w:ascii="宋体" w:hAnsi="宋体"/>
                <w:sz w:val="18"/>
                <w:szCs w:val="18"/>
              </w:rPr>
              <w:t>期别</w:t>
            </w:r>
          </w:p>
        </w:tc>
        <w:tc>
          <w:tcPr>
            <w:tcW w:w="2632" w:type="dxa"/>
            <w:vAlign w:val="center"/>
          </w:tcPr>
          <w:p>
            <w:pPr>
              <w:spacing w:line="200" w:lineRule="exact"/>
              <w:jc w:val="center"/>
              <w:rPr>
                <w:rFonts w:ascii="宋体" w:hAnsi="宋体"/>
                <w:sz w:val="18"/>
                <w:szCs w:val="18"/>
              </w:rPr>
            </w:pPr>
            <w:r>
              <w:rPr>
                <w:rFonts w:ascii="宋体" w:hAnsi="宋体"/>
                <w:sz w:val="18"/>
                <w:szCs w:val="18"/>
              </w:rPr>
              <w:t>统计范围</w:t>
            </w:r>
          </w:p>
        </w:tc>
        <w:tc>
          <w:tcPr>
            <w:tcW w:w="1629" w:type="dxa"/>
            <w:vAlign w:val="center"/>
          </w:tcPr>
          <w:p>
            <w:pPr>
              <w:spacing w:line="200" w:lineRule="exact"/>
              <w:jc w:val="center"/>
              <w:rPr>
                <w:rFonts w:ascii="宋体" w:hAnsi="宋体"/>
                <w:sz w:val="18"/>
                <w:szCs w:val="18"/>
              </w:rPr>
            </w:pPr>
            <w:r>
              <w:rPr>
                <w:rFonts w:ascii="宋体" w:hAnsi="宋体"/>
                <w:sz w:val="18"/>
                <w:szCs w:val="18"/>
              </w:rPr>
              <w:t>报送单位</w:t>
            </w:r>
          </w:p>
        </w:tc>
        <w:tc>
          <w:tcPr>
            <w:tcW w:w="1575" w:type="dxa"/>
            <w:vAlign w:val="center"/>
          </w:tcPr>
          <w:p>
            <w:pPr>
              <w:spacing w:line="200" w:lineRule="exact"/>
              <w:jc w:val="center"/>
              <w:rPr>
                <w:rFonts w:ascii="宋体" w:hAnsi="宋体"/>
                <w:sz w:val="18"/>
                <w:szCs w:val="18"/>
              </w:rPr>
            </w:pPr>
            <w:r>
              <w:rPr>
                <w:rFonts w:ascii="宋体" w:hAnsi="宋体"/>
                <w:sz w:val="18"/>
                <w:szCs w:val="18"/>
              </w:rPr>
              <w:t>报送时间</w:t>
            </w:r>
          </w:p>
          <w:p>
            <w:pPr>
              <w:spacing w:line="200" w:lineRule="exact"/>
              <w:jc w:val="center"/>
              <w:rPr>
                <w:rFonts w:ascii="宋体" w:hAnsi="宋体"/>
                <w:sz w:val="18"/>
                <w:szCs w:val="18"/>
              </w:rPr>
            </w:pPr>
            <w:r>
              <w:rPr>
                <w:rFonts w:ascii="宋体" w:hAnsi="宋体"/>
                <w:sz w:val="18"/>
                <w:szCs w:val="18"/>
              </w:rPr>
              <w:t>及</w:t>
            </w:r>
            <w:r>
              <w:rPr>
                <w:rFonts w:hint="eastAsia" w:ascii="宋体" w:hAnsi="宋体"/>
                <w:sz w:val="18"/>
                <w:szCs w:val="18"/>
              </w:rPr>
              <w:t xml:space="preserve"> </w:t>
            </w:r>
            <w:r>
              <w:rPr>
                <w:rFonts w:ascii="宋体" w:hAnsi="宋体"/>
                <w:sz w:val="18"/>
                <w:szCs w:val="18"/>
              </w:rPr>
              <w:t>方</w:t>
            </w:r>
            <w:r>
              <w:rPr>
                <w:rFonts w:hint="eastAsia" w:ascii="宋体" w:hAnsi="宋体"/>
                <w:sz w:val="18"/>
                <w:szCs w:val="18"/>
              </w:rPr>
              <w:t xml:space="preserve"> </w:t>
            </w:r>
            <w:r>
              <w:rPr>
                <w:rFonts w:ascii="宋体" w:hAnsi="宋体"/>
                <w:sz w:val="18"/>
                <w:szCs w:val="18"/>
              </w:rPr>
              <w:t>式</w:t>
            </w:r>
          </w:p>
        </w:tc>
        <w:tc>
          <w:tcPr>
            <w:tcW w:w="502" w:type="dxa"/>
            <w:tcMar>
              <w:left w:w="0" w:type="dxa"/>
              <w:right w:w="0" w:type="dxa"/>
            </w:tcMar>
            <w:vAlign w:val="center"/>
          </w:tcPr>
          <w:p>
            <w:pPr>
              <w:spacing w:line="200" w:lineRule="exact"/>
              <w:jc w:val="center"/>
              <w:rPr>
                <w:rFonts w:ascii="宋体" w:hAnsi="宋体"/>
                <w:sz w:val="18"/>
                <w:szCs w:val="18"/>
              </w:rPr>
            </w:pPr>
            <w:r>
              <w:rPr>
                <w:rFonts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jc w:val="center"/>
        </w:trPr>
        <w:tc>
          <w:tcPr>
            <w:tcW w:w="9440" w:type="dxa"/>
            <w:gridSpan w:val="7"/>
            <w:vAlign w:val="center"/>
          </w:tcPr>
          <w:p>
            <w:pPr>
              <w:pStyle w:val="14"/>
              <w:pBdr>
                <w:bottom w:val="none" w:color="auto" w:sz="0" w:space="0"/>
              </w:pBdr>
              <w:tabs>
                <w:tab w:val="clear" w:pos="4153"/>
                <w:tab w:val="clear" w:pos="8306"/>
              </w:tabs>
              <w:snapToGrid/>
              <w:spacing w:line="240" w:lineRule="exact"/>
              <w:jc w:val="left"/>
              <w:rPr>
                <w:rFonts w:ascii="宋体" w:hAnsi="宋体"/>
              </w:rPr>
            </w:pPr>
            <w:r>
              <w:rPr>
                <w:rFonts w:ascii="宋体" w:hAnsi="宋体"/>
              </w:rPr>
              <w:t>（</w:t>
            </w:r>
            <w:r>
              <w:rPr>
                <w:rFonts w:hint="eastAsia" w:ascii="宋体" w:hAnsi="宋体"/>
              </w:rPr>
              <w:t>三</w:t>
            </w:r>
            <w:r>
              <w:rPr>
                <w:rFonts w:ascii="宋体" w:hAnsi="宋体"/>
              </w:rPr>
              <w:t>）</w:t>
            </w:r>
            <w:r>
              <w:rPr>
                <w:rFonts w:hint="eastAsia" w:ascii="宋体" w:hAnsi="宋体"/>
              </w:rPr>
              <w:t>综合年报</w:t>
            </w:r>
            <w:r>
              <w:rPr>
                <w:rFonts w:ascii="宋体" w:hAnsi="宋体"/>
              </w:rPr>
              <w:t>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99" w:hRule="atLeast"/>
          <w:jc w:val="center"/>
        </w:trPr>
        <w:tc>
          <w:tcPr>
            <w:tcW w:w="838" w:type="dxa"/>
            <w:vAlign w:val="center"/>
          </w:tcPr>
          <w:p>
            <w:pPr>
              <w:spacing w:line="240" w:lineRule="exact"/>
              <w:rPr>
                <w:rFonts w:ascii="宋体" w:hAnsi="宋体"/>
                <w:sz w:val="18"/>
                <w:szCs w:val="18"/>
              </w:rPr>
            </w:pPr>
            <w:r>
              <w:rPr>
                <w:rFonts w:ascii="宋体" w:hAnsi="宋体"/>
                <w:sz w:val="18"/>
                <w:szCs w:val="18"/>
              </w:rPr>
              <w:t>P303-1表</w:t>
            </w:r>
          </w:p>
        </w:tc>
        <w:tc>
          <w:tcPr>
            <w:tcW w:w="1685" w:type="dxa"/>
            <w:vAlign w:val="center"/>
          </w:tcPr>
          <w:p>
            <w:pPr>
              <w:spacing w:line="240" w:lineRule="exact"/>
              <w:rPr>
                <w:rFonts w:ascii="宋体" w:hAnsi="宋体"/>
                <w:sz w:val="18"/>
                <w:szCs w:val="18"/>
              </w:rPr>
            </w:pPr>
            <w:r>
              <w:rPr>
                <w:rFonts w:ascii="宋体" w:hAnsi="宋体"/>
                <w:sz w:val="18"/>
                <w:szCs w:val="18"/>
              </w:rPr>
              <w:t>能源平衡表(实物量)</w:t>
            </w:r>
          </w:p>
        </w:tc>
        <w:tc>
          <w:tcPr>
            <w:tcW w:w="579" w:type="dxa"/>
            <w:vAlign w:val="center"/>
          </w:tcPr>
          <w:p>
            <w:pPr>
              <w:pStyle w:val="14"/>
              <w:pBdr>
                <w:bottom w:val="none" w:color="auto" w:sz="0" w:space="0"/>
              </w:pBdr>
              <w:tabs>
                <w:tab w:val="clear" w:pos="4153"/>
                <w:tab w:val="clear" w:pos="8306"/>
              </w:tabs>
              <w:snapToGrid/>
              <w:spacing w:line="240" w:lineRule="exact"/>
              <w:rPr>
                <w:rFonts w:ascii="宋体" w:hAnsi="宋体"/>
              </w:rPr>
            </w:pPr>
            <w:r>
              <w:rPr>
                <w:rFonts w:ascii="宋体" w:hAnsi="宋体"/>
              </w:rPr>
              <w:t>年报</w:t>
            </w:r>
          </w:p>
        </w:tc>
        <w:tc>
          <w:tcPr>
            <w:tcW w:w="2632" w:type="dxa"/>
            <w:vAlign w:val="center"/>
          </w:tcPr>
          <w:p>
            <w:pPr>
              <w:spacing w:line="240" w:lineRule="exact"/>
              <w:rPr>
                <w:rFonts w:ascii="宋体" w:hAnsi="宋体"/>
                <w:sz w:val="18"/>
                <w:szCs w:val="18"/>
              </w:rPr>
            </w:pPr>
            <w:r>
              <w:rPr>
                <w:rFonts w:ascii="宋体" w:hAnsi="宋体"/>
                <w:sz w:val="18"/>
                <w:szCs w:val="18"/>
              </w:rPr>
              <w:t>辖区内除军队系统以外的全部能源生产和消费活动</w:t>
            </w:r>
          </w:p>
        </w:tc>
        <w:tc>
          <w:tcPr>
            <w:tcW w:w="1629" w:type="dxa"/>
            <w:vAlign w:val="center"/>
          </w:tcPr>
          <w:p>
            <w:pPr>
              <w:spacing w:line="240" w:lineRule="exact"/>
              <w:rPr>
                <w:rFonts w:ascii="宋体" w:hAnsi="宋体"/>
                <w:sz w:val="18"/>
                <w:szCs w:val="18"/>
              </w:rPr>
            </w:pPr>
            <w:r>
              <w:rPr>
                <w:rFonts w:ascii="宋体" w:hAnsi="宋体"/>
                <w:sz w:val="18"/>
                <w:szCs w:val="18"/>
              </w:rPr>
              <w:t>各</w:t>
            </w:r>
            <w:r>
              <w:rPr>
                <w:rFonts w:hint="eastAsia" w:ascii="宋体" w:hAnsi="宋体"/>
                <w:sz w:val="18"/>
                <w:szCs w:val="18"/>
              </w:rPr>
              <w:t>设</w:t>
            </w:r>
            <w:r>
              <w:rPr>
                <w:rFonts w:ascii="宋体" w:hAnsi="宋体"/>
                <w:sz w:val="18"/>
                <w:szCs w:val="18"/>
              </w:rPr>
              <w:t>区市</w:t>
            </w:r>
            <w:r>
              <w:rPr>
                <w:rFonts w:hint="eastAsia" w:ascii="宋体" w:hAnsi="宋体"/>
                <w:sz w:val="18"/>
                <w:szCs w:val="18"/>
              </w:rPr>
              <w:t>和平潭综合实验区</w:t>
            </w:r>
            <w:r>
              <w:rPr>
                <w:rFonts w:ascii="宋体" w:hAnsi="宋体"/>
                <w:sz w:val="18"/>
                <w:szCs w:val="18"/>
              </w:rPr>
              <w:t>统计局</w:t>
            </w:r>
          </w:p>
        </w:tc>
        <w:tc>
          <w:tcPr>
            <w:tcW w:w="1575" w:type="dxa"/>
            <w:vAlign w:val="center"/>
          </w:tcPr>
          <w:p>
            <w:pPr>
              <w:spacing w:line="240" w:lineRule="exact"/>
              <w:rPr>
                <w:rFonts w:ascii="宋体" w:hAnsi="宋体"/>
                <w:sz w:val="18"/>
                <w:szCs w:val="18"/>
              </w:rPr>
            </w:pPr>
            <w:r>
              <w:rPr>
                <w:rFonts w:ascii="宋体" w:hAnsi="宋体"/>
                <w:sz w:val="18"/>
                <w:szCs w:val="18"/>
              </w:rPr>
              <w:t>次年</w:t>
            </w:r>
            <w:r>
              <w:rPr>
                <w:rFonts w:hint="eastAsia" w:ascii="宋体" w:hAnsi="宋体"/>
                <w:sz w:val="18"/>
                <w:szCs w:val="18"/>
              </w:rPr>
              <w:t>4</w:t>
            </w:r>
            <w:r>
              <w:rPr>
                <w:rFonts w:ascii="宋体" w:hAnsi="宋体"/>
                <w:sz w:val="18"/>
                <w:szCs w:val="18"/>
              </w:rPr>
              <w:t>月3</w:t>
            </w:r>
            <w:r>
              <w:rPr>
                <w:rFonts w:hint="eastAsia" w:ascii="宋体" w:hAnsi="宋体"/>
                <w:sz w:val="18"/>
                <w:szCs w:val="18"/>
              </w:rPr>
              <w:t>0</w:t>
            </w:r>
            <w:r>
              <w:rPr>
                <w:rFonts w:ascii="宋体" w:hAnsi="宋体"/>
                <w:sz w:val="18"/>
                <w:szCs w:val="18"/>
              </w:rPr>
              <w:t>日前；电子邮件</w:t>
            </w:r>
          </w:p>
        </w:tc>
        <w:tc>
          <w:tcPr>
            <w:tcW w:w="502" w:type="dxa"/>
            <w:vAlign w:val="center"/>
          </w:tcPr>
          <w:p>
            <w:pPr>
              <w:pStyle w:val="14"/>
              <w:pBdr>
                <w:bottom w:val="none" w:color="auto" w:sz="0" w:space="0"/>
              </w:pBdr>
              <w:tabs>
                <w:tab w:val="clear" w:pos="4153"/>
                <w:tab w:val="clear" w:pos="8306"/>
              </w:tabs>
              <w:snapToGrid/>
              <w:spacing w:line="240" w:lineRule="exact"/>
              <w:rPr>
                <w:rFonts w:ascii="宋体" w:hAnsi="宋体"/>
              </w:rPr>
            </w:pPr>
            <w:r>
              <w:rPr>
                <w:rFonts w:hint="eastAsia" w:ascii="宋体" w:hAnsi="宋体"/>
              </w:rPr>
              <w:t>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44" w:hRule="atLeast"/>
          <w:jc w:val="center"/>
        </w:trPr>
        <w:tc>
          <w:tcPr>
            <w:tcW w:w="838" w:type="dxa"/>
            <w:vAlign w:val="center"/>
          </w:tcPr>
          <w:p>
            <w:pPr>
              <w:spacing w:line="240" w:lineRule="exact"/>
              <w:rPr>
                <w:rFonts w:ascii="宋体" w:hAnsi="宋体"/>
                <w:sz w:val="18"/>
                <w:szCs w:val="18"/>
              </w:rPr>
            </w:pPr>
            <w:r>
              <w:rPr>
                <w:rFonts w:ascii="宋体" w:hAnsi="宋体"/>
                <w:sz w:val="18"/>
                <w:szCs w:val="18"/>
              </w:rPr>
              <w:t>P303-4表</w:t>
            </w:r>
          </w:p>
        </w:tc>
        <w:tc>
          <w:tcPr>
            <w:tcW w:w="1685" w:type="dxa"/>
            <w:vAlign w:val="center"/>
          </w:tcPr>
          <w:p>
            <w:pPr>
              <w:spacing w:line="240" w:lineRule="exact"/>
              <w:rPr>
                <w:rFonts w:ascii="宋体" w:hAnsi="宋体"/>
                <w:sz w:val="18"/>
                <w:szCs w:val="18"/>
              </w:rPr>
            </w:pPr>
            <w:r>
              <w:rPr>
                <w:rFonts w:ascii="宋体" w:hAnsi="宋体"/>
                <w:sz w:val="18"/>
                <w:szCs w:val="18"/>
              </w:rPr>
              <w:t>能源平衡表(标准量)</w:t>
            </w:r>
          </w:p>
        </w:tc>
        <w:tc>
          <w:tcPr>
            <w:tcW w:w="579" w:type="dxa"/>
            <w:vAlign w:val="center"/>
          </w:tcPr>
          <w:p>
            <w:pPr>
              <w:spacing w:line="240" w:lineRule="exact"/>
              <w:jc w:val="center"/>
              <w:rPr>
                <w:rFonts w:ascii="宋体" w:hAnsi="宋体"/>
                <w:sz w:val="18"/>
                <w:szCs w:val="18"/>
              </w:rPr>
            </w:pPr>
            <w:r>
              <w:rPr>
                <w:rFonts w:ascii="宋体" w:hAnsi="宋体"/>
                <w:sz w:val="18"/>
                <w:szCs w:val="18"/>
              </w:rPr>
              <w:t>年报</w:t>
            </w:r>
          </w:p>
        </w:tc>
        <w:tc>
          <w:tcPr>
            <w:tcW w:w="2632" w:type="dxa"/>
            <w:vAlign w:val="center"/>
          </w:tcPr>
          <w:p>
            <w:pPr>
              <w:spacing w:line="240" w:lineRule="exact"/>
              <w:jc w:val="center"/>
              <w:rPr>
                <w:rFonts w:ascii="宋体" w:hAnsi="宋体"/>
                <w:dstrike/>
                <w:sz w:val="18"/>
                <w:szCs w:val="18"/>
              </w:rPr>
            </w:pPr>
            <w:r>
              <w:rPr>
                <w:rFonts w:ascii="宋体" w:hAnsi="宋体"/>
                <w:sz w:val="18"/>
                <w:szCs w:val="18"/>
              </w:rPr>
              <w:t>同上</w:t>
            </w:r>
          </w:p>
        </w:tc>
        <w:tc>
          <w:tcPr>
            <w:tcW w:w="1629" w:type="dxa"/>
            <w:vAlign w:val="center"/>
          </w:tcPr>
          <w:p>
            <w:pPr>
              <w:spacing w:line="240" w:lineRule="exact"/>
              <w:jc w:val="center"/>
              <w:rPr>
                <w:rFonts w:ascii="宋体" w:hAnsi="宋体"/>
                <w:sz w:val="18"/>
                <w:szCs w:val="18"/>
              </w:rPr>
            </w:pPr>
            <w:r>
              <w:rPr>
                <w:rFonts w:ascii="宋体" w:hAnsi="宋体"/>
                <w:sz w:val="18"/>
                <w:szCs w:val="18"/>
              </w:rPr>
              <w:t>同上</w:t>
            </w:r>
          </w:p>
        </w:tc>
        <w:tc>
          <w:tcPr>
            <w:tcW w:w="1575" w:type="dxa"/>
            <w:vAlign w:val="center"/>
          </w:tcPr>
          <w:p>
            <w:pPr>
              <w:spacing w:line="240" w:lineRule="exact"/>
              <w:jc w:val="center"/>
              <w:rPr>
                <w:rFonts w:ascii="宋体" w:hAnsi="宋体"/>
                <w:sz w:val="18"/>
                <w:szCs w:val="18"/>
              </w:rPr>
            </w:pPr>
            <w:r>
              <w:rPr>
                <w:rFonts w:ascii="宋体" w:hAnsi="宋体"/>
                <w:sz w:val="18"/>
                <w:szCs w:val="18"/>
              </w:rPr>
              <w:t>同上</w:t>
            </w:r>
          </w:p>
        </w:tc>
        <w:tc>
          <w:tcPr>
            <w:tcW w:w="502" w:type="dxa"/>
            <w:vAlign w:val="center"/>
          </w:tcPr>
          <w:p>
            <w:pPr>
              <w:spacing w:line="240" w:lineRule="exact"/>
              <w:jc w:val="center"/>
              <w:rPr>
                <w:rFonts w:ascii="宋体" w:hAnsi="宋体"/>
                <w:sz w:val="18"/>
                <w:szCs w:val="18"/>
              </w:rPr>
            </w:pPr>
            <w:r>
              <w:rPr>
                <w:rFonts w:hint="eastAsia" w:ascii="宋体" w:hAnsi="宋体"/>
                <w:sz w:val="18"/>
                <w:szCs w:val="18"/>
              </w:rPr>
              <w:t>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jc w:val="center"/>
        </w:trPr>
        <w:tc>
          <w:tcPr>
            <w:tcW w:w="9440" w:type="dxa"/>
            <w:gridSpan w:val="7"/>
            <w:tcBorders>
              <w:bottom w:val="nil"/>
            </w:tcBorders>
            <w:vAlign w:val="center"/>
          </w:tcPr>
          <w:p>
            <w:pPr>
              <w:spacing w:line="200" w:lineRule="exact"/>
              <w:jc w:val="left"/>
              <w:rPr>
                <w:rFonts w:ascii="宋体" w:hAnsi="宋体"/>
                <w:sz w:val="18"/>
                <w:szCs w:val="18"/>
              </w:rPr>
            </w:pPr>
            <w:r>
              <w:rPr>
                <w:rFonts w:ascii="宋体" w:hAnsi="宋体"/>
                <w:sz w:val="18"/>
                <w:szCs w:val="18"/>
              </w:rPr>
              <w:t>（</w:t>
            </w:r>
            <w:r>
              <w:rPr>
                <w:rFonts w:hint="eastAsia" w:ascii="宋体" w:hAnsi="宋体"/>
                <w:sz w:val="18"/>
                <w:szCs w:val="18"/>
              </w:rPr>
              <w:t>四</w:t>
            </w:r>
            <w:r>
              <w:rPr>
                <w:rFonts w:ascii="宋体" w:hAnsi="宋体"/>
                <w:sz w:val="18"/>
                <w:szCs w:val="18"/>
              </w:rPr>
              <w:t>）</w:t>
            </w:r>
            <w:r>
              <w:rPr>
                <w:rFonts w:hint="eastAsia" w:ascii="宋体" w:hAnsi="宋体"/>
                <w:sz w:val="18"/>
                <w:szCs w:val="18"/>
              </w:rPr>
              <w:t>综合定报表式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631" w:hRule="exact"/>
          <w:jc w:val="center"/>
        </w:trPr>
        <w:tc>
          <w:tcPr>
            <w:tcW w:w="838" w:type="dxa"/>
            <w:vAlign w:val="center"/>
          </w:tcPr>
          <w:p>
            <w:pPr>
              <w:spacing w:line="240" w:lineRule="exact"/>
              <w:rPr>
                <w:rFonts w:ascii="宋体" w:hAnsi="宋体"/>
                <w:sz w:val="18"/>
                <w:szCs w:val="18"/>
              </w:rPr>
            </w:pPr>
            <w:r>
              <w:rPr>
                <w:rFonts w:ascii="宋体" w:hAnsi="宋体"/>
                <w:sz w:val="18"/>
                <w:szCs w:val="18"/>
              </w:rPr>
              <w:t>P406表</w:t>
            </w:r>
          </w:p>
        </w:tc>
        <w:tc>
          <w:tcPr>
            <w:tcW w:w="1685" w:type="dxa"/>
            <w:vAlign w:val="center"/>
          </w:tcPr>
          <w:p>
            <w:pPr>
              <w:spacing w:line="240" w:lineRule="exact"/>
              <w:rPr>
                <w:rFonts w:ascii="宋体" w:hAnsi="宋体"/>
                <w:sz w:val="18"/>
                <w:szCs w:val="18"/>
              </w:rPr>
            </w:pPr>
            <w:r>
              <w:rPr>
                <w:rFonts w:ascii="宋体" w:hAnsi="宋体"/>
                <w:sz w:val="18"/>
                <w:szCs w:val="18"/>
              </w:rPr>
              <w:t>地区能源消费与单位GDP能耗</w:t>
            </w:r>
          </w:p>
        </w:tc>
        <w:tc>
          <w:tcPr>
            <w:tcW w:w="579" w:type="dxa"/>
            <w:vAlign w:val="center"/>
          </w:tcPr>
          <w:p>
            <w:pPr>
              <w:spacing w:line="240" w:lineRule="exact"/>
              <w:jc w:val="center"/>
              <w:rPr>
                <w:rFonts w:ascii="宋体" w:hAnsi="宋体"/>
                <w:sz w:val="18"/>
                <w:szCs w:val="18"/>
              </w:rPr>
            </w:pPr>
            <w:r>
              <w:rPr>
                <w:rFonts w:ascii="宋体" w:hAnsi="宋体"/>
                <w:sz w:val="18"/>
                <w:szCs w:val="18"/>
              </w:rPr>
              <w:t>季报</w:t>
            </w:r>
          </w:p>
        </w:tc>
        <w:tc>
          <w:tcPr>
            <w:tcW w:w="2632" w:type="dxa"/>
            <w:vAlign w:val="center"/>
          </w:tcPr>
          <w:p>
            <w:pPr>
              <w:spacing w:line="240" w:lineRule="exact"/>
              <w:rPr>
                <w:rFonts w:ascii="宋体" w:hAnsi="宋体"/>
                <w:sz w:val="18"/>
                <w:szCs w:val="18"/>
              </w:rPr>
            </w:pPr>
            <w:r>
              <w:rPr>
                <w:rFonts w:ascii="宋体" w:hAnsi="宋体"/>
                <w:sz w:val="18"/>
                <w:szCs w:val="18"/>
              </w:rPr>
              <w:t>与表中所列各指标统计范围相同</w:t>
            </w:r>
          </w:p>
        </w:tc>
        <w:tc>
          <w:tcPr>
            <w:tcW w:w="1629" w:type="dxa"/>
            <w:vAlign w:val="center"/>
          </w:tcPr>
          <w:p>
            <w:pPr>
              <w:spacing w:line="240" w:lineRule="exact"/>
              <w:rPr>
                <w:rFonts w:ascii="宋体" w:hAnsi="宋体"/>
                <w:sz w:val="18"/>
                <w:szCs w:val="18"/>
              </w:rPr>
            </w:pPr>
            <w:r>
              <w:rPr>
                <w:rFonts w:ascii="宋体" w:hAnsi="宋体"/>
                <w:sz w:val="18"/>
                <w:szCs w:val="18"/>
              </w:rPr>
              <w:t>各</w:t>
            </w:r>
            <w:r>
              <w:rPr>
                <w:rFonts w:hint="eastAsia" w:ascii="宋体" w:hAnsi="宋体"/>
                <w:sz w:val="18"/>
                <w:szCs w:val="18"/>
              </w:rPr>
              <w:t>设</w:t>
            </w:r>
            <w:r>
              <w:rPr>
                <w:rFonts w:ascii="宋体" w:hAnsi="宋体"/>
                <w:sz w:val="18"/>
                <w:szCs w:val="18"/>
              </w:rPr>
              <w:t>区市统计局</w:t>
            </w:r>
          </w:p>
        </w:tc>
        <w:tc>
          <w:tcPr>
            <w:tcW w:w="1575" w:type="dxa"/>
            <w:vAlign w:val="center"/>
          </w:tcPr>
          <w:p>
            <w:pPr>
              <w:spacing w:line="240" w:lineRule="exact"/>
              <w:rPr>
                <w:rFonts w:ascii="宋体" w:hAnsi="宋体"/>
                <w:sz w:val="18"/>
                <w:szCs w:val="18"/>
              </w:rPr>
            </w:pPr>
            <w:r>
              <w:rPr>
                <w:rFonts w:ascii="宋体" w:hAnsi="宋体"/>
                <w:sz w:val="18"/>
                <w:szCs w:val="18"/>
              </w:rPr>
              <w:t>季后23日12:00前；电子邮件</w:t>
            </w:r>
          </w:p>
        </w:tc>
        <w:tc>
          <w:tcPr>
            <w:tcW w:w="502" w:type="dxa"/>
            <w:vAlign w:val="center"/>
          </w:tcPr>
          <w:p>
            <w:pPr>
              <w:spacing w:line="200" w:lineRule="exact"/>
              <w:jc w:val="center"/>
              <w:rPr>
                <w:rFonts w:ascii="宋体" w:hAnsi="宋体"/>
                <w:sz w:val="18"/>
                <w:szCs w:val="18"/>
              </w:rPr>
            </w:pPr>
            <w:r>
              <w:rPr>
                <w:rFonts w:hint="eastAsia" w:ascii="宋体" w:hAnsi="宋体"/>
                <w:sz w:val="18"/>
                <w:szCs w:val="18"/>
              </w:rPr>
              <w:t>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292" w:hRule="atLeast"/>
          <w:jc w:val="center"/>
        </w:trPr>
        <w:tc>
          <w:tcPr>
            <w:tcW w:w="838" w:type="dxa"/>
            <w:vAlign w:val="center"/>
          </w:tcPr>
          <w:p>
            <w:pPr>
              <w:spacing w:line="240" w:lineRule="exact"/>
              <w:rPr>
                <w:rFonts w:ascii="宋体" w:hAnsi="宋体"/>
                <w:sz w:val="18"/>
                <w:szCs w:val="18"/>
              </w:rPr>
            </w:pPr>
            <w:r>
              <w:rPr>
                <w:rFonts w:ascii="宋体" w:hAnsi="宋体"/>
                <w:sz w:val="18"/>
                <w:szCs w:val="18"/>
              </w:rPr>
              <w:t>P407表</w:t>
            </w:r>
          </w:p>
        </w:tc>
        <w:tc>
          <w:tcPr>
            <w:tcW w:w="1685" w:type="dxa"/>
            <w:vAlign w:val="center"/>
          </w:tcPr>
          <w:p>
            <w:pPr>
              <w:spacing w:line="240" w:lineRule="exact"/>
              <w:rPr>
                <w:rFonts w:ascii="宋体" w:hAnsi="宋体"/>
                <w:sz w:val="18"/>
                <w:szCs w:val="18"/>
              </w:rPr>
            </w:pPr>
            <w:r>
              <w:rPr>
                <w:rFonts w:ascii="宋体" w:hAnsi="宋体"/>
                <w:sz w:val="18"/>
                <w:szCs w:val="18"/>
              </w:rPr>
              <w:t>全社会用电量情况</w:t>
            </w:r>
          </w:p>
        </w:tc>
        <w:tc>
          <w:tcPr>
            <w:tcW w:w="579" w:type="dxa"/>
            <w:vAlign w:val="center"/>
          </w:tcPr>
          <w:p>
            <w:pPr>
              <w:spacing w:line="240" w:lineRule="exact"/>
              <w:jc w:val="center"/>
              <w:rPr>
                <w:rFonts w:ascii="宋体" w:hAnsi="宋体"/>
                <w:sz w:val="18"/>
                <w:szCs w:val="18"/>
              </w:rPr>
            </w:pPr>
            <w:r>
              <w:rPr>
                <w:rFonts w:ascii="宋体" w:hAnsi="宋体"/>
                <w:sz w:val="18"/>
                <w:szCs w:val="18"/>
              </w:rPr>
              <w:t>月报</w:t>
            </w:r>
          </w:p>
        </w:tc>
        <w:tc>
          <w:tcPr>
            <w:tcW w:w="2632" w:type="dxa"/>
            <w:vAlign w:val="center"/>
          </w:tcPr>
          <w:p>
            <w:pPr>
              <w:spacing w:line="240" w:lineRule="exact"/>
              <w:rPr>
                <w:rFonts w:ascii="宋体" w:hAnsi="宋体"/>
                <w:sz w:val="18"/>
                <w:szCs w:val="18"/>
              </w:rPr>
            </w:pPr>
            <w:r>
              <w:rPr>
                <w:rFonts w:ascii="宋体" w:hAnsi="宋体"/>
                <w:sz w:val="18"/>
                <w:szCs w:val="18"/>
              </w:rPr>
              <w:t>辖区内的电力消费单位和居民家庭</w:t>
            </w:r>
          </w:p>
        </w:tc>
        <w:tc>
          <w:tcPr>
            <w:tcW w:w="1629" w:type="dxa"/>
            <w:vAlign w:val="center"/>
          </w:tcPr>
          <w:p>
            <w:pPr>
              <w:spacing w:line="240" w:lineRule="exact"/>
              <w:jc w:val="left"/>
              <w:rPr>
                <w:rFonts w:ascii="宋体" w:hAnsi="宋体"/>
                <w:sz w:val="18"/>
                <w:szCs w:val="18"/>
              </w:rPr>
            </w:pPr>
            <w:r>
              <w:rPr>
                <w:rFonts w:hint="eastAsia" w:ascii="宋体" w:hAnsi="宋体"/>
                <w:sz w:val="18"/>
                <w:szCs w:val="18"/>
              </w:rPr>
              <w:t>省电力有限公司</w:t>
            </w:r>
          </w:p>
        </w:tc>
        <w:tc>
          <w:tcPr>
            <w:tcW w:w="1575" w:type="dxa"/>
            <w:vAlign w:val="center"/>
          </w:tcPr>
          <w:p>
            <w:pPr>
              <w:spacing w:line="240" w:lineRule="exact"/>
              <w:rPr>
                <w:rFonts w:ascii="宋体" w:hAnsi="宋体"/>
                <w:sz w:val="18"/>
                <w:szCs w:val="18"/>
              </w:rPr>
            </w:pPr>
            <w:r>
              <w:rPr>
                <w:rFonts w:hint="eastAsia" w:ascii="宋体" w:hAnsi="宋体"/>
                <w:sz w:val="18"/>
                <w:szCs w:val="18"/>
              </w:rPr>
              <w:t>2月、10月月后7日，</w:t>
            </w:r>
            <w:r>
              <w:rPr>
                <w:rFonts w:ascii="宋体" w:hAnsi="宋体"/>
                <w:sz w:val="18"/>
                <w:szCs w:val="18"/>
              </w:rPr>
              <w:t>1</w:t>
            </w:r>
            <w:r>
              <w:rPr>
                <w:rFonts w:hint="eastAsia" w:ascii="宋体" w:hAnsi="宋体"/>
                <w:sz w:val="18"/>
                <w:szCs w:val="18"/>
              </w:rPr>
              <w:t>、7月月后8日，9月月后10日，其他月月后6日12:00前网上填报</w:t>
            </w:r>
          </w:p>
        </w:tc>
        <w:tc>
          <w:tcPr>
            <w:tcW w:w="502" w:type="dxa"/>
            <w:vAlign w:val="center"/>
          </w:tcPr>
          <w:p>
            <w:pPr>
              <w:spacing w:line="200" w:lineRule="exact"/>
              <w:jc w:val="center"/>
              <w:rPr>
                <w:rFonts w:ascii="宋体" w:hAnsi="宋体"/>
                <w:sz w:val="18"/>
                <w:szCs w:val="18"/>
              </w:rPr>
            </w:pPr>
            <w:r>
              <w:rPr>
                <w:rFonts w:hint="eastAsia" w:ascii="宋体" w:hAnsi="宋体"/>
                <w:sz w:val="18"/>
                <w:szCs w:val="18"/>
              </w:rPr>
              <w:t>17</w:t>
            </w:r>
          </w:p>
        </w:tc>
      </w:tr>
    </w:tbl>
    <w:p>
      <w:pPr>
        <w:spacing w:line="14" w:lineRule="exact"/>
      </w:pPr>
    </w:p>
    <w:p>
      <w:pPr>
        <w:pStyle w:val="2"/>
        <w:snapToGrid w:val="0"/>
        <w:spacing w:beforeLines="90" w:afterLines="100" w:line="240" w:lineRule="auto"/>
        <w:jc w:val="center"/>
        <w:rPr>
          <w:rFonts w:eastAsia="黑体"/>
          <w:b w:val="0"/>
          <w:sz w:val="32"/>
          <w:szCs w:val="32"/>
        </w:rPr>
      </w:pPr>
      <w:r>
        <w:br w:type="page"/>
      </w:r>
      <w:r>
        <w:rPr>
          <w:rFonts w:eastAsia="黑体"/>
          <w:b w:val="0"/>
          <w:sz w:val="32"/>
          <w:szCs w:val="32"/>
        </w:rPr>
        <w:t>三、调 查 表 式</w:t>
      </w:r>
    </w:p>
    <w:p>
      <w:pPr>
        <w:spacing w:line="480" w:lineRule="exact"/>
        <w:jc w:val="center"/>
        <w:outlineLvl w:val="1"/>
        <w:rPr>
          <w:rFonts w:eastAsia="黑体"/>
          <w:sz w:val="28"/>
          <w:szCs w:val="28"/>
        </w:rPr>
      </w:pPr>
      <w:r>
        <w:rPr>
          <w:rFonts w:eastAsia="黑体"/>
          <w:kern w:val="0"/>
          <w:sz w:val="28"/>
          <w:szCs w:val="28"/>
        </w:rPr>
        <w:t>（</w:t>
      </w:r>
      <w:r>
        <w:rPr>
          <w:rFonts w:eastAsia="黑体"/>
          <w:sz w:val="28"/>
          <w:szCs w:val="28"/>
        </w:rPr>
        <w:t>一）基层年报表式</w:t>
      </w:r>
    </w:p>
    <w:p>
      <w:pPr>
        <w:spacing w:beforeLines="80" w:afterLines="100"/>
        <w:jc w:val="center"/>
        <w:outlineLvl w:val="2"/>
        <w:rPr>
          <w:sz w:val="32"/>
          <w:szCs w:val="32"/>
        </w:rPr>
      </w:pPr>
      <w:r>
        <w:rPr>
          <w:rFonts w:hint="eastAsia"/>
          <w:sz w:val="32"/>
          <w:szCs w:val="32"/>
        </w:rPr>
        <w:t>四下企业</w:t>
      </w:r>
      <w:r>
        <w:rPr>
          <w:sz w:val="32"/>
          <w:szCs w:val="32"/>
        </w:rPr>
        <w:t>主要能源产品产量</w:t>
      </w:r>
    </w:p>
    <w:tbl>
      <w:tblPr>
        <w:tblStyle w:val="25"/>
        <w:tblW w:w="9385" w:type="dxa"/>
        <w:jc w:val="center"/>
        <w:tblInd w:w="0" w:type="dxa"/>
        <w:tblLayout w:type="fixed"/>
        <w:tblCellMar>
          <w:top w:w="0" w:type="dxa"/>
          <w:left w:w="108" w:type="dxa"/>
          <w:bottom w:w="0" w:type="dxa"/>
          <w:right w:w="108" w:type="dxa"/>
        </w:tblCellMar>
      </w:tblPr>
      <w:tblGrid>
        <w:gridCol w:w="3452"/>
        <w:gridCol w:w="668"/>
        <w:gridCol w:w="2468"/>
        <w:gridCol w:w="2797"/>
      </w:tblGrid>
      <w:tr>
        <w:tblPrEx>
          <w:tblLayout w:type="fixed"/>
          <w:tblCellMar>
            <w:top w:w="0" w:type="dxa"/>
            <w:left w:w="108" w:type="dxa"/>
            <w:bottom w:w="0" w:type="dxa"/>
            <w:right w:w="108" w:type="dxa"/>
          </w:tblCellMar>
        </w:tblPrEx>
        <w:trPr>
          <w:jc w:val="center"/>
        </w:trPr>
        <w:tc>
          <w:tcPr>
            <w:tcW w:w="3452" w:type="dxa"/>
            <w:tcMar>
              <w:left w:w="0" w:type="dxa"/>
              <w:right w:w="0" w:type="dxa"/>
            </w:tcMar>
          </w:tcPr>
          <w:p>
            <w:pPr>
              <w:spacing w:line="240" w:lineRule="exact"/>
              <w:jc w:val="center"/>
              <w:rPr>
                <w:sz w:val="32"/>
                <w:szCs w:val="32"/>
              </w:rPr>
            </w:pPr>
          </w:p>
        </w:tc>
        <w:tc>
          <w:tcPr>
            <w:tcW w:w="668" w:type="dxa"/>
          </w:tcPr>
          <w:p>
            <w:pPr>
              <w:spacing w:line="240" w:lineRule="exact"/>
              <w:jc w:val="center"/>
              <w:rPr>
                <w:sz w:val="32"/>
                <w:szCs w:val="32"/>
              </w:rPr>
            </w:pPr>
          </w:p>
        </w:tc>
        <w:tc>
          <w:tcPr>
            <w:tcW w:w="2468" w:type="dxa"/>
          </w:tcPr>
          <w:p>
            <w:pPr>
              <w:spacing w:line="240" w:lineRule="exact"/>
              <w:jc w:val="center"/>
              <w:rPr>
                <w:sz w:val="32"/>
                <w:szCs w:val="32"/>
              </w:rPr>
            </w:pPr>
          </w:p>
        </w:tc>
        <w:tc>
          <w:tcPr>
            <w:tcW w:w="2797" w:type="dxa"/>
            <w:vAlign w:val="center"/>
          </w:tcPr>
          <w:p>
            <w:pPr>
              <w:spacing w:line="240" w:lineRule="exact"/>
              <w:jc w:val="left"/>
              <w:rPr>
                <w:sz w:val="32"/>
                <w:szCs w:val="32"/>
              </w:rPr>
            </w:pPr>
            <w:r>
              <w:rPr>
                <w:sz w:val="18"/>
                <w:szCs w:val="18"/>
              </w:rPr>
              <w:t>表    号：</w:t>
            </w:r>
            <w:r>
              <w:rPr>
                <w:spacing w:val="2"/>
                <w:kern w:val="0"/>
                <w:sz w:val="18"/>
                <w:szCs w:val="18"/>
              </w:rPr>
              <w:t>Ｐ</w:t>
            </w:r>
            <w:r>
              <w:rPr>
                <w:rFonts w:hint="eastAsia"/>
                <w:spacing w:val="2"/>
                <w:kern w:val="0"/>
                <w:sz w:val="18"/>
                <w:szCs w:val="18"/>
              </w:rPr>
              <w:t xml:space="preserve">  １  </w:t>
            </w:r>
            <w:r>
              <w:rPr>
                <w:spacing w:val="2"/>
                <w:kern w:val="0"/>
                <w:sz w:val="18"/>
                <w:szCs w:val="18"/>
              </w:rPr>
              <w:t>０</w:t>
            </w:r>
            <w:r>
              <w:rPr>
                <w:rFonts w:hint="eastAsia"/>
                <w:spacing w:val="2"/>
                <w:kern w:val="0"/>
                <w:sz w:val="18"/>
                <w:szCs w:val="18"/>
              </w:rPr>
              <w:t xml:space="preserve">  </w:t>
            </w:r>
            <w:r>
              <w:rPr>
                <w:spacing w:val="2"/>
                <w:kern w:val="0"/>
                <w:sz w:val="18"/>
                <w:szCs w:val="18"/>
              </w:rPr>
              <w:t>６</w:t>
            </w:r>
            <w:r>
              <w:rPr>
                <w:spacing w:val="2"/>
                <w:kern w:val="0"/>
                <w:sz w:val="20"/>
                <w:szCs w:val="20"/>
              </w:rPr>
              <w:t xml:space="preserve">  </w:t>
            </w:r>
            <w:r>
              <w:rPr>
                <w:spacing w:val="2"/>
                <w:kern w:val="0"/>
                <w:sz w:val="18"/>
                <w:szCs w:val="18"/>
              </w:rPr>
              <w:t>表</w:t>
            </w:r>
          </w:p>
        </w:tc>
      </w:tr>
      <w:tr>
        <w:tblPrEx>
          <w:tblLayout w:type="fixed"/>
          <w:tblCellMar>
            <w:top w:w="0" w:type="dxa"/>
            <w:left w:w="108" w:type="dxa"/>
            <w:bottom w:w="0" w:type="dxa"/>
            <w:right w:w="108" w:type="dxa"/>
          </w:tblCellMar>
        </w:tblPrEx>
        <w:trPr>
          <w:jc w:val="center"/>
        </w:trPr>
        <w:tc>
          <w:tcPr>
            <w:tcW w:w="6588" w:type="dxa"/>
            <w:gridSpan w:val="3"/>
            <w:tcMar>
              <w:left w:w="0" w:type="dxa"/>
              <w:right w:w="0" w:type="dxa"/>
            </w:tcMar>
          </w:tcPr>
          <w:p>
            <w:pPr>
              <w:spacing w:line="240" w:lineRule="exact"/>
              <w:jc w:val="left"/>
              <w:rPr>
                <w:sz w:val="32"/>
                <w:szCs w:val="32"/>
              </w:rPr>
            </w:pPr>
            <w:r>
              <w:rPr>
                <w:sz w:val="18"/>
                <w:szCs w:val="18"/>
              </w:rPr>
              <w:t>统一社会信用代码</w:t>
            </w:r>
            <w:r>
              <w:rPr>
                <w:rFonts w:hint="eastAsia" w:ascii="宋体" w:hAnsi="宋体" w:cs="宋体"/>
                <w:color w:val="000000"/>
                <w:kern w:val="0"/>
                <w:sz w:val="18"/>
                <w:szCs w:val="18"/>
              </w:rPr>
              <w:t>□□□□□□□□□□□□□□□□□□</w:t>
            </w:r>
          </w:p>
        </w:tc>
        <w:tc>
          <w:tcPr>
            <w:tcW w:w="2797" w:type="dxa"/>
            <w:vAlign w:val="center"/>
          </w:tcPr>
          <w:p>
            <w:pPr>
              <w:spacing w:line="240" w:lineRule="exact"/>
              <w:ind w:right="-105" w:rightChars="-50"/>
              <w:jc w:val="left"/>
              <w:rPr>
                <w:sz w:val="32"/>
                <w:szCs w:val="32"/>
              </w:rPr>
            </w:pPr>
            <w:r>
              <w:rPr>
                <w:sz w:val="18"/>
                <w:szCs w:val="18"/>
              </w:rPr>
              <w:t>制定机关：</w:t>
            </w:r>
            <w:r>
              <w:rPr>
                <w:spacing w:val="2"/>
                <w:kern w:val="0"/>
                <w:sz w:val="18"/>
                <w:szCs w:val="18"/>
              </w:rPr>
              <w:t>国</w:t>
            </w:r>
            <w:r>
              <w:rPr>
                <w:spacing w:val="2"/>
                <w:kern w:val="0"/>
                <w:sz w:val="37"/>
                <w:szCs w:val="37"/>
              </w:rPr>
              <w:t xml:space="preserve"> </w:t>
            </w:r>
            <w:r>
              <w:rPr>
                <w:spacing w:val="2"/>
                <w:kern w:val="0"/>
                <w:sz w:val="18"/>
                <w:szCs w:val="18"/>
              </w:rPr>
              <w:t>家</w:t>
            </w:r>
            <w:r>
              <w:rPr>
                <w:spacing w:val="2"/>
                <w:kern w:val="0"/>
                <w:sz w:val="37"/>
                <w:szCs w:val="37"/>
              </w:rPr>
              <w:t xml:space="preserve"> </w:t>
            </w:r>
            <w:r>
              <w:rPr>
                <w:spacing w:val="2"/>
                <w:kern w:val="0"/>
                <w:sz w:val="18"/>
                <w:szCs w:val="18"/>
              </w:rPr>
              <w:t>统</w:t>
            </w:r>
            <w:r>
              <w:rPr>
                <w:spacing w:val="2"/>
                <w:kern w:val="0"/>
                <w:sz w:val="37"/>
                <w:szCs w:val="37"/>
              </w:rPr>
              <w:t xml:space="preserve"> </w:t>
            </w:r>
            <w:r>
              <w:rPr>
                <w:spacing w:val="2"/>
                <w:kern w:val="0"/>
                <w:sz w:val="18"/>
                <w:szCs w:val="18"/>
              </w:rPr>
              <w:t>计</w:t>
            </w:r>
            <w:r>
              <w:rPr>
                <w:spacing w:val="2"/>
                <w:kern w:val="0"/>
                <w:sz w:val="37"/>
                <w:szCs w:val="37"/>
              </w:rPr>
              <w:t xml:space="preserve"> </w:t>
            </w:r>
            <w:r>
              <w:rPr>
                <w:spacing w:val="2"/>
                <w:kern w:val="0"/>
                <w:sz w:val="18"/>
                <w:szCs w:val="18"/>
              </w:rPr>
              <w:t>局</w:t>
            </w:r>
          </w:p>
        </w:tc>
      </w:tr>
      <w:tr>
        <w:tblPrEx>
          <w:tblLayout w:type="fixed"/>
          <w:tblCellMar>
            <w:top w:w="0" w:type="dxa"/>
            <w:left w:w="108" w:type="dxa"/>
            <w:bottom w:w="0" w:type="dxa"/>
            <w:right w:w="108" w:type="dxa"/>
          </w:tblCellMar>
        </w:tblPrEx>
        <w:trPr>
          <w:jc w:val="center"/>
        </w:trPr>
        <w:tc>
          <w:tcPr>
            <w:tcW w:w="6588" w:type="dxa"/>
            <w:gridSpan w:val="3"/>
            <w:tcMar>
              <w:left w:w="0" w:type="dxa"/>
              <w:right w:w="0" w:type="dxa"/>
            </w:tcMar>
          </w:tcPr>
          <w:p>
            <w:pPr>
              <w:spacing w:line="240" w:lineRule="exact"/>
              <w:jc w:val="left"/>
              <w:rPr>
                <w:sz w:val="32"/>
                <w:szCs w:val="32"/>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2797" w:type="dxa"/>
            <w:vAlign w:val="center"/>
          </w:tcPr>
          <w:p>
            <w:pPr>
              <w:spacing w:line="240" w:lineRule="exact"/>
              <w:jc w:val="left"/>
              <w:rPr>
                <w:sz w:val="32"/>
                <w:szCs w:val="32"/>
              </w:rPr>
            </w:pPr>
            <w:r>
              <w:rPr>
                <w:sz w:val="18"/>
                <w:szCs w:val="18"/>
              </w:rPr>
              <w:t>文    号</w:t>
            </w:r>
            <w:r>
              <w:rPr>
                <w:kern w:val="0"/>
                <w:sz w:val="18"/>
                <w:szCs w:val="18"/>
              </w:rPr>
              <w:t>：</w:t>
            </w:r>
            <w:r>
              <w:rPr>
                <w:rFonts w:hint="eastAsia" w:ascii="宋体" w:hAnsi="宋体"/>
                <w:spacing w:val="-4"/>
                <w:kern w:val="0"/>
                <w:sz w:val="18"/>
                <w:szCs w:val="18"/>
              </w:rPr>
              <w:t>国统字〔2020〕105 号</w:t>
            </w:r>
          </w:p>
        </w:tc>
      </w:tr>
      <w:tr>
        <w:tblPrEx>
          <w:tblLayout w:type="fixed"/>
          <w:tblCellMar>
            <w:top w:w="0" w:type="dxa"/>
            <w:left w:w="108" w:type="dxa"/>
            <w:bottom w:w="0" w:type="dxa"/>
            <w:right w:w="108" w:type="dxa"/>
          </w:tblCellMar>
        </w:tblPrEx>
        <w:trPr>
          <w:jc w:val="center"/>
        </w:trPr>
        <w:tc>
          <w:tcPr>
            <w:tcW w:w="3452" w:type="dxa"/>
            <w:tcMar>
              <w:left w:w="0" w:type="dxa"/>
              <w:right w:w="0" w:type="dxa"/>
            </w:tcMar>
          </w:tcPr>
          <w:p>
            <w:pPr>
              <w:spacing w:line="240" w:lineRule="exact"/>
              <w:rPr>
                <w:sz w:val="32"/>
                <w:szCs w:val="32"/>
              </w:rPr>
            </w:pPr>
            <w:r>
              <w:rPr>
                <w:rFonts w:hint="eastAsia"/>
                <w:kern w:val="0"/>
                <w:sz w:val="18"/>
                <w:szCs w:val="18"/>
              </w:rPr>
              <w:t>单位详细</w:t>
            </w:r>
            <w:r>
              <w:rPr>
                <w:kern w:val="0"/>
                <w:sz w:val="18"/>
                <w:szCs w:val="18"/>
              </w:rPr>
              <w:t>名称：</w:t>
            </w:r>
          </w:p>
        </w:tc>
        <w:tc>
          <w:tcPr>
            <w:tcW w:w="668" w:type="dxa"/>
          </w:tcPr>
          <w:p>
            <w:pPr>
              <w:spacing w:line="240" w:lineRule="exact"/>
              <w:jc w:val="center"/>
              <w:rPr>
                <w:sz w:val="32"/>
                <w:szCs w:val="32"/>
              </w:rPr>
            </w:pPr>
          </w:p>
        </w:tc>
        <w:tc>
          <w:tcPr>
            <w:tcW w:w="2468" w:type="dxa"/>
          </w:tcPr>
          <w:p>
            <w:pPr>
              <w:spacing w:line="240" w:lineRule="exact"/>
              <w:rPr>
                <w:sz w:val="32"/>
                <w:szCs w:val="32"/>
              </w:rPr>
            </w:pPr>
            <w:r>
              <w:rPr>
                <w:sz w:val="18"/>
                <w:szCs w:val="18"/>
              </w:rPr>
              <w:t>２０　　年</w:t>
            </w:r>
          </w:p>
        </w:tc>
        <w:tc>
          <w:tcPr>
            <w:tcW w:w="2797" w:type="dxa"/>
            <w:vAlign w:val="center"/>
          </w:tcPr>
          <w:p>
            <w:pPr>
              <w:spacing w:line="240" w:lineRule="exact"/>
              <w:jc w:val="left"/>
              <w:rPr>
                <w:sz w:val="18"/>
                <w:szCs w:val="18"/>
              </w:rPr>
            </w:pPr>
            <w:r>
              <w:rPr>
                <w:sz w:val="18"/>
                <w:szCs w:val="18"/>
              </w:rPr>
              <w:t>有效期至：２</w:t>
            </w:r>
            <w:r>
              <w:rPr>
                <w:rFonts w:hint="eastAsia"/>
                <w:sz w:val="18"/>
                <w:szCs w:val="18"/>
              </w:rPr>
              <w:t xml:space="preserve"> </w:t>
            </w:r>
            <w:r>
              <w:rPr>
                <w:sz w:val="18"/>
                <w:szCs w:val="18"/>
              </w:rPr>
              <w:t>０</w:t>
            </w:r>
            <w:r>
              <w:rPr>
                <w:rFonts w:hint="eastAsia"/>
                <w:sz w:val="18"/>
                <w:szCs w:val="18"/>
              </w:rPr>
              <w:t xml:space="preserve"> </w:t>
            </w:r>
            <w:r>
              <w:rPr>
                <w:sz w:val="18"/>
                <w:szCs w:val="18"/>
              </w:rPr>
              <w:t>２</w:t>
            </w:r>
            <w:r>
              <w:rPr>
                <w:rFonts w:hint="eastAsia"/>
                <w:sz w:val="18"/>
                <w:szCs w:val="18"/>
              </w:rPr>
              <w:t xml:space="preserve"> １ </w:t>
            </w:r>
            <w:r>
              <w:rPr>
                <w:sz w:val="18"/>
                <w:szCs w:val="18"/>
              </w:rPr>
              <w:t>年</w:t>
            </w:r>
            <w:r>
              <w:rPr>
                <w:rFonts w:hint="eastAsia"/>
                <w:sz w:val="18"/>
                <w:szCs w:val="18"/>
              </w:rPr>
              <w:t xml:space="preserve"> </w:t>
            </w:r>
            <w:r>
              <w:rPr>
                <w:sz w:val="18"/>
                <w:szCs w:val="18"/>
              </w:rPr>
              <w:t>６月</w:t>
            </w:r>
          </w:p>
        </w:tc>
      </w:tr>
    </w:tbl>
    <w:p>
      <w:pPr>
        <w:spacing w:line="20" w:lineRule="exact"/>
        <w:jc w:val="center"/>
        <w:rPr>
          <w:bCs/>
          <w:kern w:val="0"/>
          <w:sz w:val="32"/>
          <w:szCs w:val="32"/>
        </w:rPr>
      </w:pPr>
    </w:p>
    <w:tbl>
      <w:tblPr>
        <w:tblStyle w:val="25"/>
        <w:tblW w:w="941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221"/>
        <w:gridCol w:w="1549"/>
        <w:gridCol w:w="1386"/>
        <w:gridCol w:w="2241"/>
        <w:gridCol w:w="201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2221" w:type="dxa"/>
            <w:vMerge w:val="restart"/>
            <w:tcBorders>
              <w:top w:val="single" w:color="auto" w:sz="8" w:space="0"/>
              <w:bottom w:val="single" w:color="auto" w:sz="2" w:space="0"/>
            </w:tcBorders>
            <w:vAlign w:val="center"/>
          </w:tcPr>
          <w:p>
            <w:pPr>
              <w:widowControl/>
              <w:jc w:val="center"/>
              <w:rPr>
                <w:kern w:val="0"/>
                <w:sz w:val="18"/>
                <w:szCs w:val="18"/>
              </w:rPr>
            </w:pPr>
            <w:r>
              <w:rPr>
                <w:kern w:val="0"/>
                <w:sz w:val="18"/>
                <w:szCs w:val="18"/>
              </w:rPr>
              <w:t>产品名称</w:t>
            </w:r>
          </w:p>
        </w:tc>
        <w:tc>
          <w:tcPr>
            <w:tcW w:w="1549" w:type="dxa"/>
            <w:vMerge w:val="restart"/>
            <w:tcBorders>
              <w:top w:val="single" w:color="auto" w:sz="8" w:space="0"/>
              <w:bottom w:val="single" w:color="auto" w:sz="2" w:space="0"/>
            </w:tcBorders>
            <w:vAlign w:val="center"/>
          </w:tcPr>
          <w:p>
            <w:pPr>
              <w:widowControl/>
              <w:jc w:val="center"/>
              <w:rPr>
                <w:kern w:val="0"/>
                <w:sz w:val="18"/>
                <w:szCs w:val="18"/>
              </w:rPr>
            </w:pPr>
            <w:r>
              <w:rPr>
                <w:kern w:val="0"/>
                <w:sz w:val="18"/>
                <w:szCs w:val="18"/>
              </w:rPr>
              <w:t>计量单位</w:t>
            </w:r>
          </w:p>
        </w:tc>
        <w:tc>
          <w:tcPr>
            <w:tcW w:w="1386" w:type="dxa"/>
            <w:vMerge w:val="restart"/>
            <w:tcBorders>
              <w:top w:val="single" w:color="auto" w:sz="8" w:space="0"/>
              <w:bottom w:val="single" w:color="auto" w:sz="2" w:space="0"/>
            </w:tcBorders>
            <w:vAlign w:val="center"/>
          </w:tcPr>
          <w:p>
            <w:pPr>
              <w:jc w:val="center"/>
              <w:rPr>
                <w:kern w:val="0"/>
                <w:sz w:val="18"/>
                <w:szCs w:val="18"/>
              </w:rPr>
            </w:pPr>
            <w:r>
              <w:rPr>
                <w:kern w:val="0"/>
                <w:sz w:val="18"/>
                <w:szCs w:val="18"/>
              </w:rPr>
              <w:t>产品代码</w:t>
            </w:r>
          </w:p>
        </w:tc>
        <w:tc>
          <w:tcPr>
            <w:tcW w:w="4256" w:type="dxa"/>
            <w:gridSpan w:val="2"/>
            <w:tcBorders>
              <w:top w:val="single" w:color="auto" w:sz="8" w:space="0"/>
              <w:bottom w:val="single" w:color="auto" w:sz="2" w:space="0"/>
            </w:tcBorders>
            <w:vAlign w:val="center"/>
          </w:tcPr>
          <w:p>
            <w:pPr>
              <w:widowControl/>
              <w:jc w:val="center"/>
              <w:rPr>
                <w:kern w:val="0"/>
                <w:sz w:val="18"/>
                <w:szCs w:val="18"/>
              </w:rPr>
            </w:pPr>
            <w:r>
              <w:rPr>
                <w:kern w:val="0"/>
                <w:sz w:val="18"/>
                <w:szCs w:val="18"/>
              </w:rPr>
              <w:t>生产量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2221" w:type="dxa"/>
            <w:vMerge w:val="continue"/>
            <w:tcBorders>
              <w:top w:val="single" w:color="auto" w:sz="2" w:space="0"/>
              <w:bottom w:val="single" w:color="auto" w:sz="2" w:space="0"/>
            </w:tcBorders>
            <w:vAlign w:val="center"/>
          </w:tcPr>
          <w:p>
            <w:pPr>
              <w:widowControl/>
              <w:jc w:val="center"/>
              <w:rPr>
                <w:kern w:val="0"/>
                <w:sz w:val="18"/>
                <w:szCs w:val="18"/>
              </w:rPr>
            </w:pPr>
          </w:p>
        </w:tc>
        <w:tc>
          <w:tcPr>
            <w:tcW w:w="1549" w:type="dxa"/>
            <w:vMerge w:val="continue"/>
            <w:tcBorders>
              <w:top w:val="single" w:color="auto" w:sz="2" w:space="0"/>
              <w:bottom w:val="single" w:color="auto" w:sz="2" w:space="0"/>
            </w:tcBorders>
            <w:vAlign w:val="center"/>
          </w:tcPr>
          <w:p>
            <w:pPr>
              <w:widowControl/>
              <w:jc w:val="center"/>
              <w:rPr>
                <w:kern w:val="0"/>
                <w:sz w:val="18"/>
                <w:szCs w:val="18"/>
              </w:rPr>
            </w:pPr>
          </w:p>
        </w:tc>
        <w:tc>
          <w:tcPr>
            <w:tcW w:w="1386" w:type="dxa"/>
            <w:vMerge w:val="continue"/>
            <w:tcBorders>
              <w:top w:val="single" w:color="auto" w:sz="2" w:space="0"/>
              <w:bottom w:val="single" w:color="auto" w:sz="2" w:space="0"/>
            </w:tcBorders>
            <w:vAlign w:val="center"/>
          </w:tcPr>
          <w:p>
            <w:pPr>
              <w:widowControl/>
              <w:jc w:val="center"/>
              <w:rPr>
                <w:kern w:val="0"/>
                <w:sz w:val="18"/>
                <w:szCs w:val="18"/>
              </w:rPr>
            </w:pPr>
          </w:p>
        </w:tc>
        <w:tc>
          <w:tcPr>
            <w:tcW w:w="2241" w:type="dxa"/>
            <w:tcBorders>
              <w:top w:val="single" w:color="auto" w:sz="2" w:space="0"/>
              <w:bottom w:val="single" w:color="auto" w:sz="2" w:space="0"/>
            </w:tcBorders>
            <w:vAlign w:val="center"/>
          </w:tcPr>
          <w:p>
            <w:pPr>
              <w:widowControl/>
              <w:jc w:val="center"/>
              <w:rPr>
                <w:kern w:val="0"/>
                <w:sz w:val="18"/>
                <w:szCs w:val="18"/>
              </w:rPr>
            </w:pPr>
            <w:r>
              <w:rPr>
                <w:kern w:val="0"/>
                <w:sz w:val="18"/>
                <w:szCs w:val="18"/>
              </w:rPr>
              <w:t>本年</w:t>
            </w:r>
          </w:p>
        </w:tc>
        <w:tc>
          <w:tcPr>
            <w:tcW w:w="2015" w:type="dxa"/>
            <w:tcBorders>
              <w:bottom w:val="single" w:color="auto" w:sz="2" w:space="0"/>
            </w:tcBorders>
            <w:vAlign w:val="center"/>
          </w:tcPr>
          <w:p>
            <w:pPr>
              <w:widowControl/>
              <w:jc w:val="center"/>
              <w:rPr>
                <w:kern w:val="0"/>
                <w:sz w:val="18"/>
                <w:szCs w:val="18"/>
              </w:rPr>
            </w:pPr>
            <w:r>
              <w:rPr>
                <w:kern w:val="0"/>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2221"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甲</w:t>
            </w:r>
          </w:p>
        </w:tc>
        <w:tc>
          <w:tcPr>
            <w:tcW w:w="1549"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乙</w:t>
            </w:r>
          </w:p>
        </w:tc>
        <w:tc>
          <w:tcPr>
            <w:tcW w:w="1386" w:type="dxa"/>
            <w:tcBorders>
              <w:top w:val="single" w:color="auto" w:sz="2" w:space="0"/>
              <w:bottom w:val="single" w:color="auto" w:sz="2" w:space="0"/>
            </w:tcBorders>
            <w:vAlign w:val="center"/>
          </w:tcPr>
          <w:p>
            <w:pPr>
              <w:widowControl/>
              <w:spacing w:line="240" w:lineRule="exact"/>
              <w:jc w:val="center"/>
              <w:textAlignment w:val="center"/>
              <w:rPr>
                <w:kern w:val="0"/>
                <w:sz w:val="18"/>
                <w:szCs w:val="18"/>
              </w:rPr>
            </w:pPr>
            <w:r>
              <w:rPr>
                <w:kern w:val="0"/>
                <w:sz w:val="18"/>
                <w:szCs w:val="18"/>
              </w:rPr>
              <w:t>丙</w:t>
            </w:r>
          </w:p>
        </w:tc>
        <w:tc>
          <w:tcPr>
            <w:tcW w:w="2241" w:type="dxa"/>
            <w:tcBorders>
              <w:top w:val="single" w:color="auto" w:sz="2" w:space="0"/>
              <w:bottom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w:t>
            </w:r>
          </w:p>
        </w:tc>
        <w:tc>
          <w:tcPr>
            <w:tcW w:w="2015" w:type="dxa"/>
            <w:tcBorders>
              <w:bottom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20" w:hRule="exact"/>
          <w:jc w:val="center"/>
        </w:trPr>
        <w:tc>
          <w:tcPr>
            <w:tcW w:w="2221" w:type="dxa"/>
            <w:tcBorders>
              <w:top w:val="single" w:color="auto" w:sz="2" w:space="0"/>
              <w:bottom w:val="nil"/>
            </w:tcBorders>
            <w:vAlign w:val="center"/>
          </w:tcPr>
          <w:p>
            <w:pPr>
              <w:widowControl/>
              <w:rPr>
                <w:kern w:val="0"/>
                <w:sz w:val="18"/>
                <w:szCs w:val="18"/>
              </w:rPr>
            </w:pPr>
            <w:r>
              <w:rPr>
                <w:kern w:val="0"/>
                <w:sz w:val="18"/>
                <w:szCs w:val="18"/>
              </w:rPr>
              <w:t>原煤</w:t>
            </w:r>
          </w:p>
        </w:tc>
        <w:tc>
          <w:tcPr>
            <w:tcW w:w="1549" w:type="dxa"/>
            <w:tcBorders>
              <w:top w:val="single" w:color="auto" w:sz="2" w:space="0"/>
              <w:bottom w:val="nil"/>
            </w:tcBorders>
            <w:vAlign w:val="center"/>
          </w:tcPr>
          <w:p>
            <w:pPr>
              <w:widowControl/>
              <w:jc w:val="center"/>
              <w:rPr>
                <w:kern w:val="0"/>
                <w:sz w:val="18"/>
                <w:szCs w:val="18"/>
              </w:rPr>
            </w:pPr>
            <w:r>
              <w:rPr>
                <w:kern w:val="0"/>
                <w:sz w:val="18"/>
                <w:szCs w:val="18"/>
              </w:rPr>
              <w:t>吨</w:t>
            </w:r>
          </w:p>
        </w:tc>
        <w:tc>
          <w:tcPr>
            <w:tcW w:w="1386" w:type="dxa"/>
            <w:tcBorders>
              <w:top w:val="single" w:color="auto" w:sz="2" w:space="0"/>
              <w:bottom w:val="nil"/>
            </w:tcBorders>
            <w:vAlign w:val="center"/>
          </w:tcPr>
          <w:p>
            <w:pPr>
              <w:jc w:val="center"/>
              <w:textAlignment w:val="center"/>
              <w:rPr>
                <w:rFonts w:ascii="宋体" w:hAnsi="宋体" w:cs="宋体"/>
                <w:kern w:val="0"/>
                <w:sz w:val="18"/>
                <w:szCs w:val="18"/>
              </w:rPr>
            </w:pPr>
            <w:r>
              <w:rPr>
                <w:rFonts w:ascii="宋体" w:hAnsi="宋体" w:cs="宋体"/>
                <w:kern w:val="0"/>
                <w:sz w:val="18"/>
                <w:szCs w:val="18"/>
              </w:rPr>
              <w:t>0601000000</w:t>
            </w:r>
          </w:p>
        </w:tc>
        <w:tc>
          <w:tcPr>
            <w:tcW w:w="4256" w:type="dxa"/>
            <w:gridSpan w:val="2"/>
            <w:tcBorders>
              <w:top w:val="single" w:color="auto" w:sz="2" w:space="0"/>
              <w:bottom w:val="nil"/>
            </w:tcBorders>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20" w:hRule="exact"/>
          <w:jc w:val="center"/>
        </w:trPr>
        <w:tc>
          <w:tcPr>
            <w:tcW w:w="2221" w:type="dxa"/>
            <w:tcBorders>
              <w:top w:val="nil"/>
              <w:bottom w:val="nil"/>
            </w:tcBorders>
            <w:vAlign w:val="center"/>
          </w:tcPr>
          <w:p>
            <w:pPr>
              <w:widowControl/>
              <w:rPr>
                <w:kern w:val="0"/>
                <w:sz w:val="18"/>
                <w:szCs w:val="18"/>
              </w:rPr>
            </w:pPr>
            <w:r>
              <w:rPr>
                <w:kern w:val="0"/>
                <w:sz w:val="18"/>
                <w:szCs w:val="18"/>
              </w:rPr>
              <w:t>天然气</w:t>
            </w:r>
          </w:p>
        </w:tc>
        <w:tc>
          <w:tcPr>
            <w:tcW w:w="1549" w:type="dxa"/>
            <w:tcBorders>
              <w:top w:val="nil"/>
              <w:bottom w:val="nil"/>
            </w:tcBorders>
            <w:vAlign w:val="center"/>
          </w:tcPr>
          <w:p>
            <w:pPr>
              <w:widowControl/>
              <w:jc w:val="center"/>
              <w:rPr>
                <w:kern w:val="0"/>
                <w:sz w:val="18"/>
                <w:szCs w:val="18"/>
              </w:rPr>
            </w:pPr>
            <w:r>
              <w:rPr>
                <w:kern w:val="0"/>
                <w:sz w:val="18"/>
                <w:szCs w:val="18"/>
              </w:rPr>
              <w:t>万立方米</w:t>
            </w:r>
          </w:p>
        </w:tc>
        <w:tc>
          <w:tcPr>
            <w:tcW w:w="1386" w:type="dxa"/>
            <w:tcBorders>
              <w:top w:val="nil"/>
              <w:bottom w:val="nil"/>
            </w:tcBorders>
            <w:vAlign w:val="center"/>
          </w:tcPr>
          <w:p>
            <w:pPr>
              <w:jc w:val="center"/>
              <w:textAlignment w:val="center"/>
              <w:rPr>
                <w:rFonts w:ascii="宋体" w:hAnsi="宋体" w:cs="宋体"/>
                <w:kern w:val="0"/>
                <w:sz w:val="18"/>
                <w:szCs w:val="18"/>
              </w:rPr>
            </w:pPr>
            <w:r>
              <w:rPr>
                <w:rFonts w:ascii="宋体" w:hAnsi="宋体" w:cs="宋体"/>
                <w:kern w:val="0"/>
                <w:sz w:val="18"/>
                <w:szCs w:val="18"/>
              </w:rPr>
              <w:t>0702000000</w:t>
            </w:r>
          </w:p>
        </w:tc>
        <w:tc>
          <w:tcPr>
            <w:tcW w:w="4256" w:type="dxa"/>
            <w:gridSpan w:val="2"/>
            <w:tcBorders>
              <w:top w:val="nil"/>
              <w:bottom w:val="nil"/>
            </w:tcBorders>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20" w:hRule="exact"/>
          <w:jc w:val="center"/>
        </w:trPr>
        <w:tc>
          <w:tcPr>
            <w:tcW w:w="2221" w:type="dxa"/>
            <w:tcBorders>
              <w:top w:val="nil"/>
              <w:bottom w:val="single" w:color="auto" w:sz="8" w:space="0"/>
            </w:tcBorders>
            <w:vAlign w:val="center"/>
          </w:tcPr>
          <w:p>
            <w:pPr>
              <w:widowControl/>
              <w:ind w:firstLine="0" w:firstLineChars="0"/>
              <w:textAlignment w:val="center"/>
              <w:rPr>
                <w:kern w:val="0"/>
                <w:sz w:val="18"/>
                <w:szCs w:val="18"/>
              </w:rPr>
            </w:pPr>
            <w:r>
              <w:rPr>
                <w:kern w:val="0"/>
                <w:sz w:val="18"/>
                <w:szCs w:val="18"/>
              </w:rPr>
              <w:t>火力发电量</w:t>
            </w:r>
          </w:p>
        </w:tc>
        <w:tc>
          <w:tcPr>
            <w:tcW w:w="1549" w:type="dxa"/>
            <w:tcBorders>
              <w:top w:val="nil"/>
              <w:bottom w:val="single" w:color="auto" w:sz="8" w:space="0"/>
            </w:tcBorders>
            <w:vAlign w:val="center"/>
          </w:tcPr>
          <w:p>
            <w:pPr>
              <w:widowControl/>
              <w:jc w:val="center"/>
              <w:rPr>
                <w:kern w:val="0"/>
                <w:sz w:val="18"/>
                <w:szCs w:val="18"/>
              </w:rPr>
            </w:pPr>
            <w:r>
              <w:rPr>
                <w:kern w:val="0"/>
                <w:sz w:val="18"/>
                <w:szCs w:val="18"/>
              </w:rPr>
              <w:t>万千瓦小时</w:t>
            </w:r>
          </w:p>
        </w:tc>
        <w:tc>
          <w:tcPr>
            <w:tcW w:w="1386" w:type="dxa"/>
            <w:tcBorders>
              <w:top w:val="nil"/>
              <w:bottom w:val="single" w:color="auto" w:sz="8" w:space="0"/>
            </w:tcBorders>
            <w:vAlign w:val="center"/>
          </w:tcPr>
          <w:p>
            <w:pPr>
              <w:widowControl/>
              <w:jc w:val="center"/>
              <w:textAlignment w:val="center"/>
              <w:rPr>
                <w:rFonts w:ascii="宋体" w:hAnsi="宋体" w:cs="宋体"/>
                <w:kern w:val="0"/>
                <w:sz w:val="18"/>
                <w:szCs w:val="18"/>
              </w:rPr>
            </w:pPr>
            <w:r>
              <w:rPr>
                <w:rFonts w:ascii="宋体" w:hAnsi="宋体" w:cs="宋体"/>
                <w:kern w:val="0"/>
                <w:sz w:val="18"/>
                <w:szCs w:val="18"/>
              </w:rPr>
              <w:fldChar w:fldCharType="begin"/>
            </w:r>
            <w:r>
              <w:rPr>
                <w:rFonts w:ascii="宋体" w:hAnsi="宋体" w:cs="宋体"/>
                <w:kern w:val="0"/>
                <w:sz w:val="18"/>
                <w:szCs w:val="18"/>
              </w:rPr>
              <w:instrText xml:space="preserve"> HYPERLINK "http://www.stats.gov.cn/zjtj/tjbz/tjypflml/2010/44/01/01/44010199.html" </w:instrText>
            </w:r>
            <w:r>
              <w:rPr>
                <w:rFonts w:ascii="宋体" w:hAnsi="宋体" w:cs="宋体"/>
                <w:kern w:val="0"/>
                <w:sz w:val="18"/>
                <w:szCs w:val="18"/>
              </w:rPr>
              <w:fldChar w:fldCharType="separate"/>
            </w:r>
            <w:r>
              <w:rPr>
                <w:rFonts w:ascii="宋体" w:hAnsi="宋体" w:cs="宋体"/>
                <w:kern w:val="0"/>
                <w:sz w:val="18"/>
                <w:szCs w:val="18"/>
              </w:rPr>
              <w:t>440101</w:t>
            </w:r>
            <w:r>
              <w:rPr>
                <w:rFonts w:ascii="宋体" w:hAnsi="宋体" w:cs="宋体"/>
                <w:kern w:val="0"/>
                <w:sz w:val="18"/>
                <w:szCs w:val="18"/>
              </w:rPr>
              <w:t>01</w:t>
            </w:r>
            <w:r>
              <w:rPr>
                <w:rFonts w:ascii="宋体" w:hAnsi="宋体" w:cs="宋体"/>
                <w:kern w:val="0"/>
                <w:sz w:val="18"/>
                <w:szCs w:val="18"/>
              </w:rPr>
              <w:t>00</w:t>
            </w:r>
            <w:r>
              <w:rPr>
                <w:rFonts w:ascii="宋体" w:hAnsi="宋体" w:cs="宋体"/>
                <w:kern w:val="0"/>
                <w:sz w:val="18"/>
                <w:szCs w:val="18"/>
              </w:rPr>
              <w:fldChar w:fldCharType="end"/>
            </w:r>
          </w:p>
        </w:tc>
        <w:tc>
          <w:tcPr>
            <w:tcW w:w="4256" w:type="dxa"/>
            <w:gridSpan w:val="2"/>
            <w:tcBorders>
              <w:top w:val="nil"/>
              <w:bottom w:val="single" w:color="auto" w:sz="8" w:space="0"/>
            </w:tcBorders>
            <w:vAlign w:val="center"/>
          </w:tcPr>
          <w:p>
            <w:pPr>
              <w:widowControl/>
              <w:jc w:val="center"/>
              <w:rPr>
                <w:kern w:val="0"/>
                <w:sz w:val="18"/>
                <w:szCs w:val="18"/>
              </w:rPr>
            </w:pPr>
          </w:p>
        </w:tc>
      </w:tr>
    </w:tbl>
    <w:p>
      <w:pPr>
        <w:spacing w:line="280" w:lineRule="exact"/>
        <w:ind w:right="-38"/>
        <w:rPr>
          <w:sz w:val="18"/>
        </w:rPr>
      </w:pPr>
      <w:r>
        <w:rPr>
          <w:sz w:val="18"/>
        </w:rPr>
        <w:t>单位负责人：             统计负责人：         填表人：          联系电话：       报出日期：２０　年　月　日</w:t>
      </w:r>
    </w:p>
    <w:p>
      <w:pPr>
        <w:spacing w:line="200" w:lineRule="exact"/>
        <w:ind w:right="-40"/>
        <w:rPr>
          <w:sz w:val="18"/>
        </w:rPr>
      </w:pPr>
    </w:p>
    <w:p>
      <w:pPr>
        <w:spacing w:beforeLines="20" w:line="320" w:lineRule="exact"/>
        <w:ind w:left="1530" w:hanging="1530" w:hangingChars="850"/>
        <w:rPr>
          <w:sz w:val="18"/>
          <w:szCs w:val="18"/>
        </w:rPr>
      </w:pPr>
      <w:r>
        <w:rPr>
          <w:sz w:val="18"/>
          <w:szCs w:val="18"/>
        </w:rPr>
        <w:t>说明：</w:t>
      </w:r>
      <w:r>
        <w:rPr>
          <w:rFonts w:ascii="宋体" w:hAnsi="宋体" w:cs="宋体"/>
          <w:sz w:val="18"/>
          <w:szCs w:val="18"/>
        </w:rPr>
        <w:t>1.</w:t>
      </w:r>
      <w:r>
        <w:rPr>
          <w:sz w:val="18"/>
          <w:szCs w:val="18"/>
        </w:rPr>
        <w:t>统计范围：</w:t>
      </w:r>
      <w:r>
        <w:rPr>
          <w:rFonts w:hint="eastAsia"/>
          <w:sz w:val="18"/>
          <w:szCs w:val="18"/>
        </w:rPr>
        <w:t>辖区内有原煤、天然气和火电生产的规模以下工业、资质外的建筑业、限额以下批发和零售业、限</w:t>
      </w:r>
    </w:p>
    <w:p>
      <w:pPr>
        <w:spacing w:line="320" w:lineRule="exact"/>
        <w:ind w:left="1606" w:leftChars="765" w:firstLine="0" w:firstLineChars="0"/>
        <w:rPr>
          <w:sz w:val="18"/>
          <w:szCs w:val="18"/>
        </w:rPr>
      </w:pPr>
      <w:r>
        <w:rPr>
          <w:rFonts w:hint="eastAsia"/>
          <w:sz w:val="18"/>
          <w:szCs w:val="18"/>
        </w:rPr>
        <w:t>额以下住宿和餐饮业和规模以下服务业等重点法人单位</w:t>
      </w:r>
      <w:r>
        <w:rPr>
          <w:sz w:val="18"/>
          <w:szCs w:val="18"/>
        </w:rPr>
        <w:t>。</w:t>
      </w:r>
    </w:p>
    <w:p>
      <w:pPr>
        <w:spacing w:line="320" w:lineRule="exact"/>
        <w:ind w:left="665" w:leftChars="250" w:hanging="140" w:hangingChars="78"/>
        <w:rPr>
          <w:rFonts w:ascii="宋体" w:hAnsi="宋体" w:cs="宋体"/>
          <w:sz w:val="18"/>
          <w:szCs w:val="18"/>
        </w:rPr>
      </w:pPr>
      <w:r>
        <w:rPr>
          <w:rFonts w:hint="eastAsia" w:ascii="宋体" w:hAnsi="宋体" w:cs="宋体"/>
          <w:sz w:val="18"/>
          <w:szCs w:val="18"/>
        </w:rPr>
        <w:t>2.报送日期及方式：次年1月</w:t>
      </w:r>
      <w:r>
        <w:rPr>
          <w:rFonts w:hint="eastAsia" w:ascii="宋体" w:hAnsi="宋体" w:cs="宋体"/>
          <w:sz w:val="18"/>
          <w:szCs w:val="18"/>
        </w:rPr>
        <w:t>15</w:t>
      </w:r>
      <w:r>
        <w:rPr>
          <w:rFonts w:hint="eastAsia" w:ascii="宋体" w:hAnsi="宋体" w:cs="宋体"/>
          <w:sz w:val="18"/>
          <w:szCs w:val="18"/>
        </w:rPr>
        <w:t>日</w:t>
      </w:r>
      <w:r>
        <w:rPr>
          <w:rFonts w:hint="eastAsia" w:ascii="宋体" w:hAnsi="宋体" w:cs="宋体"/>
          <w:sz w:val="18"/>
          <w:szCs w:val="18"/>
        </w:rPr>
        <w:t>12</w:t>
      </w:r>
      <w:r>
        <w:rPr>
          <w:rFonts w:hint="eastAsia" w:ascii="宋体" w:hAnsi="宋体" w:cs="宋体"/>
          <w:sz w:val="18"/>
          <w:szCs w:val="18"/>
        </w:rPr>
        <w:t>：00前网上填报。</w:t>
      </w:r>
    </w:p>
    <w:p>
      <w:pPr>
        <w:spacing w:line="320" w:lineRule="exact"/>
        <w:ind w:left="665" w:leftChars="250" w:hanging="140" w:hangingChars="78"/>
        <w:rPr>
          <w:sz w:val="18"/>
          <w:szCs w:val="18"/>
        </w:rPr>
      </w:pPr>
    </w:p>
    <w:p>
      <w:pPr>
        <w:spacing w:line="320" w:lineRule="exact"/>
        <w:ind w:left="665" w:leftChars="250" w:hanging="140" w:hangingChars="78"/>
        <w:rPr>
          <w:sz w:val="18"/>
          <w:szCs w:val="18"/>
        </w:rPr>
      </w:pPr>
    </w:p>
    <w:p>
      <w:pPr>
        <w:spacing w:line="320" w:lineRule="exact"/>
        <w:ind w:left="665" w:leftChars="250" w:hanging="140" w:hangingChars="78"/>
        <w:rPr>
          <w:sz w:val="18"/>
          <w:szCs w:val="18"/>
        </w:rPr>
      </w:pPr>
    </w:p>
    <w:p>
      <w:pPr>
        <w:snapToGrid w:val="0"/>
        <w:spacing w:beforeLines="100" w:afterLines="100"/>
        <w:jc w:val="center"/>
        <w:outlineLvl w:val="1"/>
        <w:rPr>
          <w:rFonts w:eastAsia="黑体"/>
          <w:sz w:val="28"/>
          <w:szCs w:val="28"/>
        </w:rPr>
      </w:pPr>
      <w:r>
        <w:rPr>
          <w:sz w:val="18"/>
        </w:rPr>
        <w:br w:type="page"/>
      </w:r>
      <w:r>
        <w:rPr>
          <w:rFonts w:eastAsia="黑体"/>
          <w:sz w:val="28"/>
          <w:szCs w:val="28"/>
        </w:rPr>
        <w:t>（二）基层定报表式</w:t>
      </w:r>
    </w:p>
    <w:p>
      <w:pPr>
        <w:snapToGrid w:val="0"/>
        <w:spacing w:beforeLines="100" w:afterLines="100"/>
        <w:jc w:val="center"/>
        <w:outlineLvl w:val="2"/>
        <w:rPr>
          <w:sz w:val="32"/>
        </w:rPr>
      </w:pPr>
      <w:r>
        <w:rPr>
          <w:sz w:val="32"/>
        </w:rPr>
        <w:t>能源购进、消费与库存</w:t>
      </w:r>
    </w:p>
    <w:tbl>
      <w:tblPr>
        <w:tblStyle w:val="25"/>
        <w:tblW w:w="9431" w:type="dxa"/>
        <w:jc w:val="center"/>
        <w:tblInd w:w="10" w:type="dxa"/>
        <w:tblLayout w:type="fixed"/>
        <w:tblCellMar>
          <w:top w:w="0" w:type="dxa"/>
          <w:left w:w="0" w:type="dxa"/>
          <w:bottom w:w="0" w:type="dxa"/>
          <w:right w:w="0" w:type="dxa"/>
        </w:tblCellMar>
      </w:tblPr>
      <w:tblGrid>
        <w:gridCol w:w="3181"/>
        <w:gridCol w:w="753"/>
        <w:gridCol w:w="2935"/>
        <w:gridCol w:w="868"/>
        <w:gridCol w:w="1694"/>
      </w:tblGrid>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p>
        </w:tc>
        <w:tc>
          <w:tcPr>
            <w:tcW w:w="753" w:type="dxa"/>
          </w:tcPr>
          <w:p>
            <w:pPr>
              <w:spacing w:line="260" w:lineRule="exact"/>
              <w:rPr>
                <w:sz w:val="18"/>
                <w:szCs w:val="18"/>
              </w:rPr>
            </w:pPr>
          </w:p>
        </w:tc>
        <w:tc>
          <w:tcPr>
            <w:tcW w:w="2935" w:type="dxa"/>
          </w:tcPr>
          <w:p>
            <w:pPr>
              <w:spacing w:line="260" w:lineRule="exact"/>
              <w:rPr>
                <w:sz w:val="18"/>
                <w:szCs w:val="18"/>
              </w:rPr>
            </w:pPr>
          </w:p>
        </w:tc>
        <w:tc>
          <w:tcPr>
            <w:tcW w:w="868" w:type="dxa"/>
            <w:tcMar>
              <w:left w:w="0" w:type="dxa"/>
              <w:right w:w="0" w:type="dxa"/>
            </w:tcMar>
          </w:tcPr>
          <w:p>
            <w:pPr>
              <w:spacing w:line="260" w:lineRule="exact"/>
              <w:rPr>
                <w:sz w:val="18"/>
                <w:szCs w:val="18"/>
              </w:rPr>
            </w:pPr>
            <w:r>
              <w:rPr>
                <w:sz w:val="18"/>
                <w:szCs w:val="18"/>
              </w:rPr>
              <w:t>表    号：</w:t>
            </w:r>
          </w:p>
        </w:tc>
        <w:tc>
          <w:tcPr>
            <w:tcW w:w="1694" w:type="dxa"/>
            <w:vAlign w:val="center"/>
          </w:tcPr>
          <w:p>
            <w:pPr>
              <w:spacing w:line="260" w:lineRule="exact"/>
              <w:jc w:val="distribute"/>
              <w:rPr>
                <w:spacing w:val="-2"/>
                <w:kern w:val="0"/>
                <w:sz w:val="18"/>
                <w:szCs w:val="18"/>
              </w:rPr>
            </w:pPr>
            <w:r>
              <w:rPr>
                <w:spacing w:val="-2"/>
                <w:kern w:val="0"/>
                <w:sz w:val="18"/>
                <w:szCs w:val="18"/>
              </w:rPr>
              <w:t>２０５－１表</w:t>
            </w:r>
          </w:p>
        </w:tc>
      </w:tr>
      <w:tr>
        <w:tblPrEx>
          <w:tblLayout w:type="fixed"/>
          <w:tblCellMar>
            <w:top w:w="0" w:type="dxa"/>
            <w:left w:w="0" w:type="dxa"/>
            <w:bottom w:w="0" w:type="dxa"/>
            <w:right w:w="0" w:type="dxa"/>
          </w:tblCellMar>
        </w:tblPrEx>
        <w:trPr>
          <w:jc w:val="center"/>
        </w:trPr>
        <w:tc>
          <w:tcPr>
            <w:tcW w:w="6869" w:type="dxa"/>
            <w:gridSpan w:val="3"/>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868" w:type="dxa"/>
            <w:tcMar>
              <w:left w:w="0" w:type="dxa"/>
              <w:right w:w="0" w:type="dxa"/>
            </w:tcMar>
            <w:vAlign w:val="center"/>
          </w:tcPr>
          <w:p>
            <w:pPr>
              <w:spacing w:line="260" w:lineRule="exact"/>
              <w:rPr>
                <w:sz w:val="18"/>
                <w:szCs w:val="18"/>
              </w:rPr>
            </w:pPr>
            <w:r>
              <w:rPr>
                <w:sz w:val="18"/>
                <w:szCs w:val="18"/>
              </w:rPr>
              <w:t>制定机关：</w:t>
            </w:r>
          </w:p>
        </w:tc>
        <w:tc>
          <w:tcPr>
            <w:tcW w:w="1694" w:type="dxa"/>
            <w:vAlign w:val="center"/>
          </w:tcPr>
          <w:p>
            <w:pPr>
              <w:spacing w:line="260" w:lineRule="exact"/>
              <w:jc w:val="distribute"/>
              <w:rPr>
                <w:spacing w:val="-2"/>
                <w:kern w:val="0"/>
                <w:sz w:val="18"/>
                <w:szCs w:val="18"/>
              </w:rPr>
            </w:pPr>
            <w:r>
              <w:rPr>
                <w:spacing w:val="-2"/>
                <w:kern w:val="0"/>
                <w:sz w:val="18"/>
                <w:szCs w:val="18"/>
              </w:rPr>
              <w:t>国 家 统 计 局</w:t>
            </w:r>
          </w:p>
        </w:tc>
      </w:tr>
      <w:tr>
        <w:tblPrEx>
          <w:tblLayout w:type="fixed"/>
          <w:tblCellMar>
            <w:top w:w="0" w:type="dxa"/>
            <w:left w:w="0" w:type="dxa"/>
            <w:bottom w:w="0" w:type="dxa"/>
            <w:right w:w="0" w:type="dxa"/>
          </w:tblCellMar>
        </w:tblPrEx>
        <w:trPr>
          <w:jc w:val="center"/>
        </w:trPr>
        <w:tc>
          <w:tcPr>
            <w:tcW w:w="6869" w:type="dxa"/>
            <w:gridSpan w:val="3"/>
          </w:tcPr>
          <w:p>
            <w:pPr>
              <w:spacing w:line="260" w:lineRule="exac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868" w:type="dxa"/>
            <w:tcMar>
              <w:left w:w="0" w:type="dxa"/>
              <w:right w:w="0" w:type="dxa"/>
            </w:tcMar>
            <w:vAlign w:val="center"/>
          </w:tcPr>
          <w:p>
            <w:pPr>
              <w:spacing w:line="260" w:lineRule="exact"/>
              <w:rPr>
                <w:sz w:val="18"/>
                <w:szCs w:val="18"/>
              </w:rPr>
            </w:pPr>
            <w:r>
              <w:rPr>
                <w:sz w:val="18"/>
                <w:szCs w:val="18"/>
              </w:rPr>
              <w:t>文    号：</w:t>
            </w:r>
          </w:p>
        </w:tc>
        <w:tc>
          <w:tcPr>
            <w:tcW w:w="1694" w:type="dxa"/>
            <w:vAlign w:val="center"/>
          </w:tcPr>
          <w:p>
            <w:pPr>
              <w:spacing w:line="260" w:lineRule="exact"/>
              <w:jc w:val="distribute"/>
              <w:rPr>
                <w:spacing w:val="-2"/>
                <w:kern w:val="0"/>
                <w:sz w:val="18"/>
                <w:szCs w:val="18"/>
              </w:rPr>
            </w:pPr>
            <w:r>
              <w:rPr>
                <w:rFonts w:hint="eastAsia" w:ascii="宋体" w:hAnsi="宋体"/>
                <w:spacing w:val="-2"/>
                <w:kern w:val="0"/>
                <w:sz w:val="18"/>
                <w:szCs w:val="18"/>
              </w:rPr>
              <w:t>国统字〔2020〕105 号</w:t>
            </w:r>
          </w:p>
        </w:tc>
      </w:tr>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r>
              <w:rPr>
                <w:sz w:val="18"/>
              </w:rPr>
              <w:t>单位详细名称：</w:t>
            </w:r>
          </w:p>
        </w:tc>
        <w:tc>
          <w:tcPr>
            <w:tcW w:w="753" w:type="dxa"/>
          </w:tcPr>
          <w:p>
            <w:pPr>
              <w:spacing w:line="260" w:lineRule="exact"/>
              <w:rPr>
                <w:sz w:val="18"/>
                <w:szCs w:val="18"/>
              </w:rPr>
            </w:pPr>
          </w:p>
        </w:tc>
        <w:tc>
          <w:tcPr>
            <w:tcW w:w="2935" w:type="dxa"/>
          </w:tcPr>
          <w:p>
            <w:pPr>
              <w:spacing w:line="260" w:lineRule="exact"/>
              <w:ind w:firstLine="180" w:firstLineChars="100"/>
              <w:rPr>
                <w:sz w:val="18"/>
                <w:szCs w:val="18"/>
              </w:rPr>
            </w:pPr>
            <w:r>
              <w:rPr>
                <w:sz w:val="18"/>
                <w:szCs w:val="18"/>
              </w:rPr>
              <w:t>２０　　年</w:t>
            </w:r>
            <w:r>
              <w:rPr>
                <w:rFonts w:hint="eastAsia"/>
                <w:sz w:val="18"/>
                <w:szCs w:val="18"/>
              </w:rPr>
              <w:t>　１</w:t>
            </w:r>
            <w:r>
              <w:rPr>
                <w:sz w:val="18"/>
                <w:szCs w:val="18"/>
              </w:rPr>
              <w:t>－　月</w:t>
            </w:r>
          </w:p>
        </w:tc>
        <w:tc>
          <w:tcPr>
            <w:tcW w:w="868" w:type="dxa"/>
            <w:tcMar>
              <w:left w:w="0" w:type="dxa"/>
              <w:right w:w="0" w:type="dxa"/>
            </w:tcMar>
            <w:vAlign w:val="center"/>
          </w:tcPr>
          <w:p>
            <w:pPr>
              <w:spacing w:line="260" w:lineRule="exact"/>
              <w:rPr>
                <w:sz w:val="18"/>
                <w:szCs w:val="18"/>
              </w:rPr>
            </w:pPr>
            <w:r>
              <w:rPr>
                <w:sz w:val="18"/>
                <w:szCs w:val="18"/>
              </w:rPr>
              <w:t>有效期至：</w:t>
            </w:r>
          </w:p>
        </w:tc>
        <w:tc>
          <w:tcPr>
            <w:tcW w:w="1694" w:type="dxa"/>
            <w:vAlign w:val="center"/>
          </w:tcPr>
          <w:p>
            <w:pPr>
              <w:spacing w:line="260" w:lineRule="exact"/>
              <w:jc w:val="distribute"/>
              <w:rPr>
                <w:spacing w:val="-2"/>
                <w:kern w:val="0"/>
                <w:sz w:val="18"/>
                <w:szCs w:val="18"/>
              </w:rPr>
            </w:pPr>
            <w:r>
              <w:rPr>
                <w:spacing w:val="-2"/>
                <w:kern w:val="0"/>
                <w:sz w:val="18"/>
                <w:szCs w:val="18"/>
              </w:rPr>
              <w:t>２０２２年１月</w:t>
            </w:r>
          </w:p>
        </w:tc>
      </w:tr>
    </w:tbl>
    <w:p>
      <w:pPr>
        <w:spacing w:line="20" w:lineRule="exact"/>
        <w:rPr>
          <w:sz w:val="18"/>
          <w:szCs w:val="18"/>
        </w:rPr>
      </w:pPr>
    </w:p>
    <w:tbl>
      <w:tblPr>
        <w:tblStyle w:val="25"/>
        <w:tblW w:w="9412" w:type="dxa"/>
        <w:jc w:val="center"/>
        <w:tblInd w:w="0" w:type="dxa"/>
        <w:tblLayout w:type="fixed"/>
        <w:tblCellMar>
          <w:top w:w="0" w:type="dxa"/>
          <w:left w:w="0" w:type="dxa"/>
          <w:bottom w:w="0" w:type="dxa"/>
          <w:right w:w="0" w:type="dxa"/>
        </w:tblCellMar>
      </w:tblPr>
      <w:tblGrid>
        <w:gridCol w:w="554"/>
        <w:gridCol w:w="503"/>
        <w:gridCol w:w="506"/>
        <w:gridCol w:w="783"/>
        <w:gridCol w:w="783"/>
        <w:gridCol w:w="783"/>
        <w:gridCol w:w="783"/>
        <w:gridCol w:w="783"/>
        <w:gridCol w:w="783"/>
        <w:gridCol w:w="783"/>
        <w:gridCol w:w="783"/>
        <w:gridCol w:w="783"/>
        <w:gridCol w:w="802"/>
      </w:tblGrid>
      <w:tr>
        <w:tblPrEx>
          <w:tblLayout w:type="fixed"/>
          <w:tblCellMar>
            <w:top w:w="0" w:type="dxa"/>
            <w:left w:w="0" w:type="dxa"/>
            <w:bottom w:w="0" w:type="dxa"/>
            <w:right w:w="0" w:type="dxa"/>
          </w:tblCellMar>
        </w:tblPrEx>
        <w:trPr>
          <w:trHeight w:val="454" w:hRule="atLeast"/>
          <w:jc w:val="center"/>
        </w:trPr>
        <w:tc>
          <w:tcPr>
            <w:tcW w:w="554" w:type="dxa"/>
            <w:vMerge w:val="restart"/>
            <w:tcBorders>
              <w:top w:val="single" w:color="auto" w:sz="8" w:space="0"/>
              <w:bottom w:val="single" w:color="auto" w:sz="2" w:space="0"/>
              <w:right w:val="single" w:color="auto" w:sz="2" w:space="0"/>
            </w:tcBorders>
            <w:vAlign w:val="center"/>
          </w:tcPr>
          <w:p>
            <w:pPr>
              <w:widowControl/>
              <w:adjustRightInd w:val="0"/>
              <w:spacing w:line="240" w:lineRule="exact"/>
              <w:jc w:val="center"/>
              <w:rPr>
                <w:bCs/>
                <w:sz w:val="18"/>
                <w:szCs w:val="18"/>
              </w:rPr>
            </w:pPr>
            <w:r>
              <w:rPr>
                <w:bCs/>
                <w:sz w:val="18"/>
                <w:szCs w:val="18"/>
              </w:rPr>
              <w:t>能源               名称</w:t>
            </w:r>
          </w:p>
        </w:tc>
        <w:tc>
          <w:tcPr>
            <w:tcW w:w="503" w:type="dxa"/>
            <w:vMerge w:val="restart"/>
            <w:tcBorders>
              <w:top w:val="single" w:color="auto" w:sz="8"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r>
              <w:rPr>
                <w:bCs/>
                <w:sz w:val="18"/>
                <w:szCs w:val="18"/>
              </w:rPr>
              <w:t>计量  单位</w:t>
            </w:r>
          </w:p>
        </w:tc>
        <w:tc>
          <w:tcPr>
            <w:tcW w:w="506" w:type="dxa"/>
            <w:vMerge w:val="restart"/>
            <w:tcBorders>
              <w:top w:val="single" w:color="auto" w:sz="8" w:space="0"/>
              <w:left w:val="single" w:color="auto" w:sz="2" w:space="0"/>
              <w:bottom w:val="single" w:color="auto" w:sz="2" w:space="0"/>
              <w:right w:val="single" w:color="auto" w:sz="2" w:space="0"/>
            </w:tcBorders>
            <w:vAlign w:val="center"/>
          </w:tcPr>
          <w:p>
            <w:pPr>
              <w:widowControl/>
              <w:adjustRightInd w:val="0"/>
              <w:spacing w:line="240" w:lineRule="exact"/>
              <w:jc w:val="center"/>
              <w:rPr>
                <w:bCs/>
                <w:sz w:val="18"/>
                <w:szCs w:val="18"/>
              </w:rPr>
            </w:pPr>
            <w:r>
              <w:rPr>
                <w:bCs/>
                <w:sz w:val="18"/>
                <w:szCs w:val="18"/>
              </w:rPr>
              <w:t>代码</w:t>
            </w:r>
          </w:p>
        </w:tc>
        <w:tc>
          <w:tcPr>
            <w:tcW w:w="783" w:type="dxa"/>
            <w:vMerge w:val="restart"/>
            <w:tcBorders>
              <w:top w:val="single" w:color="auto" w:sz="8"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r>
              <w:rPr>
                <w:bCs/>
                <w:sz w:val="18"/>
                <w:szCs w:val="18"/>
              </w:rPr>
              <w:t>年初</w:t>
            </w:r>
          </w:p>
          <w:p>
            <w:pPr>
              <w:adjustRightInd w:val="0"/>
              <w:spacing w:line="240" w:lineRule="exact"/>
              <w:jc w:val="center"/>
              <w:rPr>
                <w:bCs/>
                <w:sz w:val="18"/>
                <w:szCs w:val="18"/>
              </w:rPr>
            </w:pPr>
            <w:r>
              <w:rPr>
                <w:bCs/>
                <w:sz w:val="18"/>
                <w:szCs w:val="18"/>
              </w:rPr>
              <w:t>库存量</w:t>
            </w:r>
          </w:p>
        </w:tc>
        <w:tc>
          <w:tcPr>
            <w:tcW w:w="4698" w:type="dxa"/>
            <w:gridSpan w:val="6"/>
            <w:tcBorders>
              <w:top w:val="single" w:color="auto" w:sz="8" w:space="0"/>
              <w:left w:val="single" w:color="auto" w:sz="2" w:space="0"/>
              <w:bottom w:val="single" w:color="auto" w:sz="2" w:space="0"/>
              <w:right w:val="single" w:color="auto" w:sz="2" w:space="0"/>
            </w:tcBorders>
            <w:vAlign w:val="center"/>
          </w:tcPr>
          <w:p>
            <w:pPr>
              <w:adjustRightInd w:val="0"/>
              <w:spacing w:line="240" w:lineRule="exact"/>
              <w:jc w:val="center"/>
              <w:rPr>
                <w:rFonts w:ascii="宋体" w:hAnsi="宋体" w:cs="宋体"/>
                <w:bCs/>
                <w:sz w:val="18"/>
                <w:szCs w:val="18"/>
              </w:rPr>
            </w:pPr>
            <w:r>
              <w:rPr>
                <w:rFonts w:hint="eastAsia" w:ascii="宋体" w:hAnsi="宋体" w:cs="宋体"/>
                <w:bCs/>
                <w:sz w:val="18"/>
                <w:szCs w:val="18"/>
              </w:rPr>
              <w:t>1-本月</w:t>
            </w:r>
          </w:p>
        </w:tc>
        <w:tc>
          <w:tcPr>
            <w:tcW w:w="783" w:type="dxa"/>
            <w:vMerge w:val="restart"/>
            <w:tcBorders>
              <w:top w:val="single" w:color="auto" w:sz="8" w:space="0"/>
              <w:left w:val="single" w:color="auto" w:sz="2" w:space="0"/>
              <w:bottom w:val="single" w:color="auto" w:sz="2" w:space="0"/>
            </w:tcBorders>
            <w:vAlign w:val="center"/>
          </w:tcPr>
          <w:p>
            <w:pPr>
              <w:widowControl/>
              <w:adjustRightInd w:val="0"/>
              <w:spacing w:line="240" w:lineRule="exact"/>
              <w:jc w:val="center"/>
              <w:rPr>
                <w:bCs/>
                <w:sz w:val="18"/>
                <w:szCs w:val="18"/>
              </w:rPr>
            </w:pPr>
            <w:r>
              <w:rPr>
                <w:bCs/>
                <w:sz w:val="18"/>
                <w:szCs w:val="18"/>
              </w:rPr>
              <w:t xml:space="preserve">期  末         </w:t>
            </w:r>
            <w:r>
              <w:rPr>
                <w:bCs/>
                <w:sz w:val="18"/>
              </w:rPr>
              <w:t>库存量</w:t>
            </w:r>
          </w:p>
        </w:tc>
        <w:tc>
          <w:tcPr>
            <w:tcW w:w="783" w:type="dxa"/>
            <w:vMerge w:val="restart"/>
            <w:tcBorders>
              <w:top w:val="single" w:color="auto" w:sz="8" w:space="0"/>
              <w:left w:val="single" w:color="auto" w:sz="2" w:space="0"/>
              <w:bottom w:val="single" w:color="auto" w:sz="2" w:space="0"/>
            </w:tcBorders>
            <w:vAlign w:val="center"/>
          </w:tcPr>
          <w:p>
            <w:pPr>
              <w:widowControl/>
              <w:adjustRightInd w:val="0"/>
              <w:spacing w:line="240" w:lineRule="exact"/>
              <w:jc w:val="center"/>
              <w:rPr>
                <w:bCs/>
                <w:sz w:val="18"/>
                <w:szCs w:val="18"/>
              </w:rPr>
            </w:pPr>
            <w:r>
              <w:rPr>
                <w:bCs/>
                <w:sz w:val="18"/>
                <w:szCs w:val="18"/>
              </w:rPr>
              <w:t>采用折标</w:t>
            </w:r>
          </w:p>
          <w:p>
            <w:pPr>
              <w:widowControl/>
              <w:adjustRightInd w:val="0"/>
              <w:spacing w:line="240" w:lineRule="exact"/>
              <w:jc w:val="center"/>
              <w:rPr>
                <w:bCs/>
                <w:sz w:val="18"/>
                <w:szCs w:val="18"/>
              </w:rPr>
            </w:pPr>
            <w:r>
              <w:rPr>
                <w:bCs/>
                <w:sz w:val="18"/>
                <w:szCs w:val="18"/>
              </w:rPr>
              <w:t>系    数</w:t>
            </w:r>
          </w:p>
        </w:tc>
        <w:tc>
          <w:tcPr>
            <w:tcW w:w="802" w:type="dxa"/>
            <w:vMerge w:val="restart"/>
            <w:tcBorders>
              <w:top w:val="single" w:color="auto" w:sz="8" w:space="0"/>
              <w:left w:val="single" w:color="auto" w:sz="2" w:space="0"/>
              <w:bottom w:val="single" w:color="auto" w:sz="2" w:space="0"/>
            </w:tcBorders>
            <w:vAlign w:val="center"/>
          </w:tcPr>
          <w:p>
            <w:pPr>
              <w:widowControl/>
              <w:adjustRightInd w:val="0"/>
              <w:spacing w:line="240" w:lineRule="exact"/>
              <w:jc w:val="center"/>
              <w:rPr>
                <w:bCs/>
                <w:sz w:val="18"/>
                <w:szCs w:val="18"/>
              </w:rPr>
            </w:pPr>
            <w:r>
              <w:rPr>
                <w:bCs/>
                <w:sz w:val="18"/>
                <w:szCs w:val="18"/>
              </w:rPr>
              <w:t>参考折标系    数</w:t>
            </w:r>
          </w:p>
        </w:tc>
      </w:tr>
      <w:tr>
        <w:tblPrEx>
          <w:tblLayout w:type="fixed"/>
          <w:tblCellMar>
            <w:top w:w="0" w:type="dxa"/>
            <w:left w:w="0" w:type="dxa"/>
            <w:bottom w:w="0" w:type="dxa"/>
            <w:right w:w="0" w:type="dxa"/>
          </w:tblCellMar>
        </w:tblPrEx>
        <w:trPr>
          <w:trHeight w:val="20" w:hRule="atLeast"/>
          <w:jc w:val="center"/>
        </w:trPr>
        <w:tc>
          <w:tcPr>
            <w:tcW w:w="554" w:type="dxa"/>
            <w:vMerge w:val="continue"/>
            <w:tcBorders>
              <w:top w:val="single" w:color="auto" w:sz="2" w:space="0"/>
              <w:bottom w:val="single" w:color="auto" w:sz="2" w:space="0"/>
              <w:right w:val="single" w:color="auto" w:sz="2" w:space="0"/>
            </w:tcBorders>
            <w:vAlign w:val="center"/>
          </w:tcPr>
          <w:p>
            <w:pPr>
              <w:widowControl/>
              <w:adjustRightInd w:val="0"/>
              <w:spacing w:line="240" w:lineRule="exact"/>
              <w:jc w:val="center"/>
              <w:rPr>
                <w:bCs/>
                <w:sz w:val="18"/>
                <w:szCs w:val="18"/>
              </w:rPr>
            </w:pPr>
          </w:p>
        </w:tc>
        <w:tc>
          <w:tcPr>
            <w:tcW w:w="503" w:type="dxa"/>
            <w:vMerge w:val="continue"/>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p>
        </w:tc>
        <w:tc>
          <w:tcPr>
            <w:tcW w:w="506"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p>
        </w:tc>
        <w:tc>
          <w:tcPr>
            <w:tcW w:w="783" w:type="dxa"/>
            <w:vMerge w:val="restart"/>
            <w:tcBorders>
              <w:top w:val="single" w:color="auto" w:sz="2" w:space="0"/>
              <w:left w:val="single" w:color="auto" w:sz="2" w:space="0"/>
              <w:bottom w:val="single" w:color="auto" w:sz="2" w:space="0"/>
            </w:tcBorders>
            <w:vAlign w:val="center"/>
          </w:tcPr>
          <w:p>
            <w:pPr>
              <w:adjustRightInd w:val="0"/>
              <w:spacing w:line="240" w:lineRule="exact"/>
              <w:jc w:val="center"/>
              <w:rPr>
                <w:bCs/>
                <w:sz w:val="18"/>
                <w:szCs w:val="18"/>
              </w:rPr>
            </w:pPr>
            <w:r>
              <w:rPr>
                <w:rFonts w:hint="eastAsia"/>
                <w:bCs/>
                <w:sz w:val="18"/>
                <w:szCs w:val="18"/>
              </w:rPr>
              <w:t>购进量</w:t>
            </w:r>
          </w:p>
        </w:tc>
        <w:tc>
          <w:tcPr>
            <w:tcW w:w="783" w:type="dxa"/>
            <w:tcBorders>
              <w:top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p>
        </w:tc>
        <w:tc>
          <w:tcPr>
            <w:tcW w:w="783" w:type="dxa"/>
            <w:vMerge w:val="restart"/>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r>
              <w:rPr>
                <w:rFonts w:hint="eastAsia"/>
                <w:bCs/>
                <w:sz w:val="18"/>
                <w:szCs w:val="18"/>
              </w:rPr>
              <w:t>购进金额</w:t>
            </w:r>
          </w:p>
          <w:p>
            <w:pPr>
              <w:adjustRightInd w:val="0"/>
              <w:spacing w:line="240" w:lineRule="exact"/>
              <w:jc w:val="center"/>
              <w:rPr>
                <w:bCs/>
                <w:sz w:val="18"/>
                <w:szCs w:val="18"/>
              </w:rPr>
            </w:pPr>
            <w:r>
              <w:rPr>
                <w:rFonts w:hint="eastAsia"/>
                <w:bCs/>
                <w:sz w:val="18"/>
                <w:szCs w:val="18"/>
              </w:rPr>
              <w:t>（千元）</w:t>
            </w:r>
          </w:p>
        </w:tc>
        <w:tc>
          <w:tcPr>
            <w:tcW w:w="783" w:type="dxa"/>
            <w:vMerge w:val="restart"/>
            <w:tcBorders>
              <w:top w:val="single" w:color="auto" w:sz="2" w:space="0"/>
              <w:left w:val="single" w:color="auto" w:sz="2" w:space="0"/>
              <w:bottom w:val="single" w:color="auto" w:sz="2" w:space="0"/>
            </w:tcBorders>
            <w:vAlign w:val="center"/>
          </w:tcPr>
          <w:p>
            <w:pPr>
              <w:adjustRightInd w:val="0"/>
              <w:spacing w:line="240" w:lineRule="exact"/>
              <w:jc w:val="center"/>
              <w:rPr>
                <w:bCs/>
                <w:sz w:val="18"/>
                <w:szCs w:val="18"/>
              </w:rPr>
            </w:pPr>
            <w:r>
              <w:rPr>
                <w:rFonts w:hint="eastAsia"/>
                <w:bCs/>
                <w:sz w:val="18"/>
                <w:szCs w:val="18"/>
              </w:rPr>
              <w:t>工  业</w:t>
            </w:r>
          </w:p>
          <w:p>
            <w:pPr>
              <w:adjustRightInd w:val="0"/>
              <w:spacing w:line="240" w:lineRule="exact"/>
              <w:jc w:val="center"/>
              <w:rPr>
                <w:bCs/>
                <w:sz w:val="18"/>
                <w:szCs w:val="18"/>
              </w:rPr>
            </w:pPr>
            <w:r>
              <w:rPr>
                <w:rFonts w:hint="eastAsia"/>
                <w:bCs/>
                <w:sz w:val="18"/>
                <w:szCs w:val="18"/>
              </w:rPr>
              <w:t>生  产</w:t>
            </w:r>
          </w:p>
          <w:p>
            <w:pPr>
              <w:adjustRightInd w:val="0"/>
              <w:spacing w:line="240" w:lineRule="exact"/>
              <w:jc w:val="center"/>
              <w:rPr>
                <w:bCs/>
                <w:sz w:val="18"/>
                <w:szCs w:val="18"/>
              </w:rPr>
            </w:pPr>
            <w:r>
              <w:rPr>
                <w:rFonts w:hint="eastAsia"/>
                <w:bCs/>
                <w:sz w:val="18"/>
                <w:szCs w:val="18"/>
              </w:rPr>
              <w:t>消费量</w:t>
            </w:r>
          </w:p>
        </w:tc>
        <w:tc>
          <w:tcPr>
            <w:tcW w:w="1566" w:type="dxa"/>
            <w:gridSpan w:val="2"/>
            <w:tcBorders>
              <w:top w:val="single" w:color="auto" w:sz="2" w:space="0"/>
              <w:left w:val="nil"/>
              <w:bottom w:val="single" w:color="auto" w:sz="2" w:space="0"/>
              <w:right w:val="single" w:color="auto" w:sz="2" w:space="0"/>
            </w:tcBorders>
            <w:vAlign w:val="center"/>
          </w:tcPr>
          <w:p>
            <w:pPr>
              <w:adjustRightInd w:val="0"/>
              <w:spacing w:line="240" w:lineRule="exact"/>
              <w:jc w:val="left"/>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rPr>
                <w:bCs/>
                <w:sz w:val="18"/>
                <w:szCs w:val="18"/>
              </w:rPr>
            </w:pPr>
          </w:p>
        </w:tc>
        <w:tc>
          <w:tcPr>
            <w:tcW w:w="802" w:type="dxa"/>
            <w:vMerge w:val="continue"/>
            <w:tcBorders>
              <w:top w:val="single" w:color="auto" w:sz="2" w:space="0"/>
              <w:left w:val="single" w:color="auto" w:sz="2" w:space="0"/>
              <w:bottom w:val="single" w:color="auto" w:sz="2" w:space="0"/>
            </w:tcBorders>
            <w:vAlign w:val="center"/>
          </w:tcPr>
          <w:p>
            <w:pPr>
              <w:widowControl/>
              <w:adjustRightInd w:val="0"/>
              <w:spacing w:line="240" w:lineRule="exact"/>
              <w:jc w:val="center"/>
              <w:rPr>
                <w:bCs/>
                <w:sz w:val="18"/>
                <w:szCs w:val="18"/>
              </w:rPr>
            </w:pPr>
          </w:p>
        </w:tc>
      </w:tr>
      <w:tr>
        <w:tblPrEx>
          <w:tblLayout w:type="fixed"/>
          <w:tblCellMar>
            <w:top w:w="0" w:type="dxa"/>
            <w:left w:w="0" w:type="dxa"/>
            <w:bottom w:w="0" w:type="dxa"/>
            <w:right w:w="0" w:type="dxa"/>
          </w:tblCellMar>
        </w:tblPrEx>
        <w:trPr>
          <w:trHeight w:val="640" w:hRule="atLeast"/>
          <w:jc w:val="center"/>
        </w:trPr>
        <w:tc>
          <w:tcPr>
            <w:tcW w:w="554" w:type="dxa"/>
            <w:vMerge w:val="continue"/>
            <w:tcBorders>
              <w:top w:val="single" w:color="auto" w:sz="2" w:space="0"/>
              <w:bottom w:val="single" w:color="auto" w:sz="2" w:space="0"/>
              <w:right w:val="single" w:color="auto" w:sz="2" w:space="0"/>
            </w:tcBorders>
            <w:vAlign w:val="center"/>
          </w:tcPr>
          <w:p>
            <w:pPr>
              <w:widowControl/>
              <w:adjustRightInd w:val="0"/>
              <w:spacing w:line="240" w:lineRule="exact"/>
              <w:jc w:val="center"/>
              <w:rPr>
                <w:bCs/>
                <w:sz w:val="18"/>
                <w:szCs w:val="18"/>
              </w:rPr>
            </w:pPr>
          </w:p>
        </w:tc>
        <w:tc>
          <w:tcPr>
            <w:tcW w:w="503" w:type="dxa"/>
            <w:vMerge w:val="continue"/>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p>
        </w:tc>
        <w:tc>
          <w:tcPr>
            <w:tcW w:w="506"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p>
        </w:tc>
        <w:tc>
          <w:tcPr>
            <w:tcW w:w="783" w:type="dxa"/>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r>
              <w:rPr>
                <w:rFonts w:hint="eastAsia"/>
                <w:bCs/>
                <w:sz w:val="18"/>
                <w:szCs w:val="18"/>
              </w:rPr>
              <w:t>购自</w:t>
            </w:r>
          </w:p>
          <w:p>
            <w:pPr>
              <w:adjustRightInd w:val="0"/>
              <w:spacing w:line="240" w:lineRule="exact"/>
              <w:jc w:val="center"/>
              <w:rPr>
                <w:bCs/>
                <w:sz w:val="18"/>
                <w:szCs w:val="18"/>
              </w:rPr>
            </w:pPr>
            <w:r>
              <w:rPr>
                <w:rFonts w:hint="eastAsia"/>
                <w:bCs/>
                <w:sz w:val="18"/>
                <w:szCs w:val="18"/>
              </w:rPr>
              <w:t>省外</w:t>
            </w:r>
          </w:p>
        </w:tc>
        <w:tc>
          <w:tcPr>
            <w:tcW w:w="783" w:type="dxa"/>
            <w:vMerge w:val="continue"/>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p>
        </w:tc>
        <w:tc>
          <w:tcPr>
            <w:tcW w:w="783" w:type="dxa"/>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rFonts w:hint="eastAsia"/>
                <w:bCs/>
                <w:sz w:val="18"/>
                <w:szCs w:val="18"/>
              </w:rPr>
            </w:pPr>
            <w:r>
              <w:rPr>
                <w:bCs/>
                <w:sz w:val="18"/>
                <w:szCs w:val="18"/>
              </w:rPr>
              <w:t>用</w:t>
            </w:r>
            <w:r>
              <w:rPr>
                <w:rFonts w:hint="eastAsia"/>
                <w:bCs/>
                <w:sz w:val="18"/>
                <w:szCs w:val="18"/>
              </w:rPr>
              <w:t xml:space="preserve">  </w:t>
            </w:r>
            <w:r>
              <w:rPr>
                <w:bCs/>
                <w:sz w:val="18"/>
                <w:szCs w:val="18"/>
              </w:rPr>
              <w:t>于</w:t>
            </w:r>
          </w:p>
          <w:p>
            <w:pPr>
              <w:adjustRightInd w:val="0"/>
              <w:spacing w:line="240" w:lineRule="exact"/>
              <w:jc w:val="center"/>
              <w:rPr>
                <w:bCs/>
                <w:sz w:val="18"/>
                <w:szCs w:val="18"/>
              </w:rPr>
            </w:pPr>
            <w:r>
              <w:rPr>
                <w:bCs/>
                <w:sz w:val="18"/>
                <w:szCs w:val="18"/>
              </w:rPr>
              <w:t>原材料</w:t>
            </w:r>
          </w:p>
        </w:tc>
        <w:tc>
          <w:tcPr>
            <w:tcW w:w="783" w:type="dxa"/>
            <w:tcBorders>
              <w:top w:val="single" w:color="auto" w:sz="2" w:space="0"/>
              <w:left w:val="single" w:color="auto" w:sz="2" w:space="0"/>
              <w:bottom w:val="single" w:color="auto" w:sz="2" w:space="0"/>
              <w:right w:val="single" w:color="auto" w:sz="2" w:space="0"/>
            </w:tcBorders>
            <w:vAlign w:val="center"/>
          </w:tcPr>
          <w:p>
            <w:pPr>
              <w:adjustRightInd w:val="0"/>
              <w:spacing w:line="240" w:lineRule="exact"/>
              <w:jc w:val="center"/>
              <w:rPr>
                <w:bCs/>
                <w:sz w:val="18"/>
                <w:szCs w:val="18"/>
              </w:rPr>
            </w:pPr>
            <w:r>
              <w:rPr>
                <w:bCs/>
                <w:sz w:val="18"/>
                <w:szCs w:val="18"/>
              </w:rPr>
              <w:t>运输工</w:t>
            </w:r>
            <w:r>
              <w:rPr>
                <w:rFonts w:hint="eastAsia"/>
                <w:bCs/>
                <w:sz w:val="18"/>
                <w:szCs w:val="18"/>
              </w:rPr>
              <w:t xml:space="preserve">  </w:t>
            </w:r>
            <w:r>
              <w:rPr>
                <w:bCs/>
                <w:sz w:val="18"/>
                <w:szCs w:val="18"/>
              </w:rPr>
              <w:t>具消费</w:t>
            </w:r>
          </w:p>
        </w:tc>
        <w:tc>
          <w:tcPr>
            <w:tcW w:w="783"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rPr>
                <w:bCs/>
                <w:sz w:val="18"/>
                <w:szCs w:val="18"/>
              </w:rPr>
            </w:pPr>
          </w:p>
        </w:tc>
        <w:tc>
          <w:tcPr>
            <w:tcW w:w="783" w:type="dxa"/>
            <w:vMerge w:val="continue"/>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rPr>
                <w:bCs/>
                <w:sz w:val="18"/>
                <w:szCs w:val="18"/>
              </w:rPr>
            </w:pPr>
          </w:p>
        </w:tc>
        <w:tc>
          <w:tcPr>
            <w:tcW w:w="802" w:type="dxa"/>
            <w:vMerge w:val="continue"/>
            <w:tcBorders>
              <w:top w:val="single" w:color="auto" w:sz="2" w:space="0"/>
              <w:left w:val="single" w:color="auto" w:sz="2" w:space="0"/>
              <w:bottom w:val="single" w:color="auto" w:sz="2" w:space="0"/>
            </w:tcBorders>
            <w:vAlign w:val="center"/>
          </w:tcPr>
          <w:p>
            <w:pPr>
              <w:widowControl/>
              <w:adjustRightInd w:val="0"/>
              <w:spacing w:line="240" w:lineRule="exact"/>
              <w:jc w:val="center"/>
              <w:rPr>
                <w:bCs/>
                <w:sz w:val="18"/>
                <w:szCs w:val="18"/>
              </w:rPr>
            </w:pPr>
          </w:p>
        </w:tc>
      </w:tr>
      <w:tr>
        <w:tblPrEx>
          <w:tblLayout w:type="fixed"/>
          <w:tblCellMar>
            <w:top w:w="0" w:type="dxa"/>
            <w:left w:w="0" w:type="dxa"/>
            <w:bottom w:w="0" w:type="dxa"/>
            <w:right w:w="0" w:type="dxa"/>
          </w:tblCellMar>
        </w:tblPrEx>
        <w:trPr>
          <w:trHeight w:val="306" w:hRule="atLeast"/>
          <w:jc w:val="center"/>
        </w:trPr>
        <w:tc>
          <w:tcPr>
            <w:tcW w:w="554" w:type="dxa"/>
            <w:tcBorders>
              <w:top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bCs/>
                <w:sz w:val="18"/>
                <w:szCs w:val="18"/>
              </w:rPr>
            </w:pPr>
            <w:r>
              <w:rPr>
                <w:bCs/>
                <w:sz w:val="18"/>
                <w:szCs w:val="18"/>
              </w:rPr>
              <w:t>甲</w:t>
            </w:r>
          </w:p>
        </w:tc>
        <w:tc>
          <w:tcPr>
            <w:tcW w:w="50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bCs/>
                <w:sz w:val="18"/>
                <w:szCs w:val="18"/>
              </w:rPr>
            </w:pPr>
            <w:r>
              <w:rPr>
                <w:bCs/>
                <w:sz w:val="18"/>
                <w:szCs w:val="18"/>
              </w:rPr>
              <w:t>乙</w:t>
            </w:r>
          </w:p>
        </w:tc>
        <w:tc>
          <w:tcPr>
            <w:tcW w:w="506"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bCs/>
                <w:sz w:val="18"/>
                <w:szCs w:val="18"/>
              </w:rPr>
            </w:pPr>
            <w:r>
              <w:rPr>
                <w:bCs/>
                <w:sz w:val="18"/>
                <w:szCs w:val="18"/>
              </w:rPr>
              <w:t>丙</w:t>
            </w:r>
          </w:p>
        </w:tc>
        <w:tc>
          <w:tcPr>
            <w:tcW w:w="78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bCs/>
                <w:sz w:val="18"/>
                <w:szCs w:val="18"/>
              </w:rPr>
            </w:pPr>
            <w:r>
              <w:rPr>
                <w:rFonts w:ascii="宋体" w:hAnsi="宋体" w:cs="宋体"/>
                <w:bCs/>
                <w:sz w:val="18"/>
                <w:szCs w:val="18"/>
              </w:rPr>
              <w:t>1</w:t>
            </w:r>
          </w:p>
        </w:tc>
        <w:tc>
          <w:tcPr>
            <w:tcW w:w="78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bCs/>
                <w:sz w:val="18"/>
                <w:szCs w:val="18"/>
              </w:rPr>
            </w:pPr>
            <w:r>
              <w:rPr>
                <w:rFonts w:ascii="宋体" w:hAnsi="宋体" w:cs="宋体"/>
                <w:bCs/>
                <w:sz w:val="18"/>
                <w:szCs w:val="18"/>
              </w:rPr>
              <w:t>2</w:t>
            </w:r>
          </w:p>
        </w:tc>
        <w:tc>
          <w:tcPr>
            <w:tcW w:w="78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bCs/>
                <w:sz w:val="18"/>
                <w:szCs w:val="18"/>
              </w:rPr>
            </w:pPr>
            <w:r>
              <w:rPr>
                <w:rFonts w:ascii="宋体" w:hAnsi="宋体" w:cs="宋体"/>
                <w:bCs/>
                <w:sz w:val="18"/>
                <w:szCs w:val="18"/>
              </w:rPr>
              <w:t>3</w:t>
            </w:r>
          </w:p>
        </w:tc>
        <w:tc>
          <w:tcPr>
            <w:tcW w:w="78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bCs/>
                <w:sz w:val="18"/>
                <w:szCs w:val="18"/>
              </w:rPr>
            </w:pPr>
            <w:r>
              <w:rPr>
                <w:rFonts w:ascii="宋体" w:hAnsi="宋体" w:cs="宋体"/>
                <w:bCs/>
                <w:sz w:val="18"/>
                <w:szCs w:val="18"/>
              </w:rPr>
              <w:t>4</w:t>
            </w:r>
          </w:p>
        </w:tc>
        <w:tc>
          <w:tcPr>
            <w:tcW w:w="78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bCs/>
                <w:sz w:val="18"/>
                <w:szCs w:val="18"/>
              </w:rPr>
            </w:pPr>
            <w:r>
              <w:rPr>
                <w:rFonts w:ascii="宋体" w:hAnsi="宋体" w:cs="宋体"/>
                <w:bCs/>
                <w:sz w:val="18"/>
                <w:szCs w:val="18"/>
              </w:rPr>
              <w:t>5</w:t>
            </w:r>
          </w:p>
        </w:tc>
        <w:tc>
          <w:tcPr>
            <w:tcW w:w="78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bCs/>
                <w:sz w:val="18"/>
                <w:szCs w:val="18"/>
              </w:rPr>
            </w:pPr>
            <w:r>
              <w:rPr>
                <w:rFonts w:ascii="宋体" w:hAnsi="宋体" w:cs="宋体"/>
                <w:bCs/>
                <w:sz w:val="18"/>
                <w:szCs w:val="18"/>
              </w:rPr>
              <w:t>6</w:t>
            </w:r>
          </w:p>
        </w:tc>
        <w:tc>
          <w:tcPr>
            <w:tcW w:w="78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bCs/>
                <w:sz w:val="18"/>
                <w:szCs w:val="18"/>
              </w:rPr>
            </w:pPr>
            <w:r>
              <w:rPr>
                <w:rFonts w:ascii="宋体" w:hAnsi="宋体" w:cs="宋体"/>
                <w:bCs/>
                <w:sz w:val="18"/>
                <w:szCs w:val="18"/>
              </w:rPr>
              <w:t>7</w:t>
            </w:r>
          </w:p>
        </w:tc>
        <w:tc>
          <w:tcPr>
            <w:tcW w:w="78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bCs/>
                <w:sz w:val="18"/>
                <w:szCs w:val="18"/>
              </w:rPr>
            </w:pPr>
            <w:r>
              <w:rPr>
                <w:rFonts w:ascii="宋体" w:hAnsi="宋体" w:cs="宋体"/>
                <w:bCs/>
                <w:sz w:val="18"/>
                <w:szCs w:val="18"/>
              </w:rPr>
              <w:t>8</w:t>
            </w:r>
          </w:p>
        </w:tc>
        <w:tc>
          <w:tcPr>
            <w:tcW w:w="78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bCs/>
                <w:sz w:val="18"/>
                <w:szCs w:val="18"/>
              </w:rPr>
            </w:pPr>
            <w:r>
              <w:rPr>
                <w:rFonts w:ascii="宋体" w:hAnsi="宋体" w:cs="宋体"/>
                <w:bCs/>
                <w:sz w:val="18"/>
                <w:szCs w:val="18"/>
              </w:rPr>
              <w:t>9</w:t>
            </w:r>
          </w:p>
        </w:tc>
        <w:tc>
          <w:tcPr>
            <w:tcW w:w="802" w:type="dxa"/>
            <w:tcBorders>
              <w:top w:val="single" w:color="auto" w:sz="2" w:space="0"/>
              <w:left w:val="single" w:color="auto" w:sz="2" w:space="0"/>
              <w:bottom w:val="single" w:color="auto" w:sz="2" w:space="0"/>
            </w:tcBorders>
            <w:vAlign w:val="center"/>
          </w:tcPr>
          <w:p>
            <w:pPr>
              <w:widowControl/>
              <w:adjustRightInd w:val="0"/>
              <w:spacing w:line="240" w:lineRule="exact"/>
              <w:jc w:val="center"/>
              <w:textAlignment w:val="center"/>
              <w:rPr>
                <w:rFonts w:ascii="宋体" w:hAnsi="宋体" w:cs="宋体"/>
                <w:bCs/>
                <w:sz w:val="18"/>
                <w:szCs w:val="18"/>
              </w:rPr>
            </w:pPr>
            <w:r>
              <w:rPr>
                <w:rFonts w:hint="eastAsia" w:ascii="宋体" w:hAnsi="宋体" w:cs="宋体"/>
                <w:bCs/>
                <w:sz w:val="18"/>
                <w:szCs w:val="18"/>
              </w:rPr>
              <w:t>丁</w:t>
            </w:r>
          </w:p>
        </w:tc>
      </w:tr>
      <w:tr>
        <w:tblPrEx>
          <w:tblLayout w:type="fixed"/>
          <w:tblCellMar>
            <w:top w:w="0" w:type="dxa"/>
            <w:left w:w="0" w:type="dxa"/>
            <w:bottom w:w="0" w:type="dxa"/>
            <w:right w:w="0" w:type="dxa"/>
          </w:tblCellMar>
        </w:tblPrEx>
        <w:trPr>
          <w:trHeight w:val="1041" w:hRule="atLeast"/>
          <w:jc w:val="center"/>
        </w:trPr>
        <w:tc>
          <w:tcPr>
            <w:tcW w:w="554" w:type="dxa"/>
            <w:tcBorders>
              <w:top w:val="single" w:color="auto" w:sz="2" w:space="0"/>
              <w:bottom w:val="single" w:color="auto" w:sz="2" w:space="0"/>
              <w:right w:val="single" w:color="auto" w:sz="2" w:space="0"/>
            </w:tcBorders>
            <w:vAlign w:val="center"/>
          </w:tcPr>
          <w:p>
            <w:pPr>
              <w:widowControl/>
              <w:adjustRightInd w:val="0"/>
              <w:spacing w:line="240" w:lineRule="exact"/>
              <w:jc w:val="left"/>
              <w:rPr>
                <w:bCs/>
                <w:sz w:val="18"/>
                <w:szCs w:val="18"/>
              </w:rPr>
            </w:pPr>
          </w:p>
        </w:tc>
        <w:tc>
          <w:tcPr>
            <w:tcW w:w="50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rPr>
                <w:bCs/>
                <w:spacing w:val="-4"/>
                <w:sz w:val="18"/>
                <w:szCs w:val="18"/>
              </w:rPr>
            </w:pPr>
          </w:p>
        </w:tc>
        <w:tc>
          <w:tcPr>
            <w:tcW w:w="506"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rPr>
                <w:bCs/>
                <w:sz w:val="18"/>
                <w:szCs w:val="18"/>
              </w:rPr>
            </w:pPr>
          </w:p>
        </w:tc>
        <w:tc>
          <w:tcPr>
            <w:tcW w:w="7047" w:type="dxa"/>
            <w:gridSpan w:val="9"/>
            <w:tcBorders>
              <w:top w:val="single" w:color="auto" w:sz="2" w:space="0"/>
              <w:left w:val="single" w:color="auto" w:sz="2" w:space="0"/>
              <w:bottom w:val="single" w:color="auto" w:sz="2" w:space="0"/>
            </w:tcBorders>
            <w:vAlign w:val="center"/>
          </w:tcPr>
          <w:p>
            <w:pPr>
              <w:adjustRightInd w:val="0"/>
              <w:spacing w:line="240" w:lineRule="exact"/>
              <w:jc w:val="center"/>
              <w:rPr>
                <w:bCs/>
                <w:spacing w:val="-10"/>
                <w:sz w:val="18"/>
                <w:szCs w:val="18"/>
              </w:rPr>
            </w:pPr>
          </w:p>
        </w:tc>
        <w:tc>
          <w:tcPr>
            <w:tcW w:w="802" w:type="dxa"/>
            <w:tcBorders>
              <w:top w:val="single" w:color="auto" w:sz="2" w:space="0"/>
              <w:left w:val="single" w:color="auto" w:sz="2" w:space="0"/>
              <w:bottom w:val="single" w:color="auto" w:sz="2" w:space="0"/>
            </w:tcBorders>
            <w:vAlign w:val="center"/>
          </w:tcPr>
          <w:p>
            <w:pPr>
              <w:adjustRightInd w:val="0"/>
              <w:spacing w:line="240" w:lineRule="exact"/>
              <w:jc w:val="center"/>
              <w:rPr>
                <w:bCs/>
                <w:spacing w:val="-10"/>
                <w:sz w:val="18"/>
                <w:szCs w:val="18"/>
              </w:rPr>
            </w:pPr>
          </w:p>
        </w:tc>
      </w:tr>
      <w:tr>
        <w:tblPrEx>
          <w:tblLayout w:type="fixed"/>
          <w:tblCellMar>
            <w:top w:w="0" w:type="dxa"/>
            <w:left w:w="0" w:type="dxa"/>
            <w:bottom w:w="0" w:type="dxa"/>
            <w:right w:w="0" w:type="dxa"/>
          </w:tblCellMar>
        </w:tblPrEx>
        <w:trPr>
          <w:trHeight w:val="1365" w:hRule="atLeast"/>
          <w:jc w:val="center"/>
        </w:trPr>
        <w:tc>
          <w:tcPr>
            <w:tcW w:w="9412" w:type="dxa"/>
            <w:gridSpan w:val="13"/>
            <w:tcBorders>
              <w:top w:val="single" w:color="auto" w:sz="2" w:space="0"/>
              <w:bottom w:val="single" w:color="auto" w:sz="8" w:space="0"/>
            </w:tcBorders>
            <w:vAlign w:val="center"/>
          </w:tcPr>
          <w:p>
            <w:pPr>
              <w:spacing w:line="260" w:lineRule="exact"/>
              <w:rPr>
                <w:bCs/>
                <w:sz w:val="18"/>
                <w:szCs w:val="18"/>
              </w:rPr>
            </w:pPr>
            <w:r>
              <w:rPr>
                <w:bCs/>
                <w:sz w:val="18"/>
                <w:szCs w:val="18"/>
              </w:rPr>
              <w:t>补充资料：</w:t>
            </w:r>
          </w:p>
          <w:p>
            <w:pPr>
              <w:spacing w:line="260" w:lineRule="exact"/>
              <w:ind w:firstLine="180" w:firstLineChars="100"/>
              <w:rPr>
                <w:rFonts w:ascii="宋体" w:hAnsi="宋体" w:cs="宋体"/>
                <w:sz w:val="18"/>
                <w:szCs w:val="18"/>
              </w:rPr>
            </w:pPr>
            <w:r>
              <w:rPr>
                <w:rFonts w:hint="eastAsia" w:ascii="宋体" w:hAnsi="宋体" w:cs="宋体"/>
                <w:sz w:val="18"/>
                <w:szCs w:val="18"/>
              </w:rPr>
              <w:t>上年同期：</w:t>
            </w:r>
            <w:r>
              <w:rPr>
                <w:rFonts w:hint="eastAsia" w:ascii="宋体" w:hAnsi="宋体" w:cs="宋体"/>
                <w:sz w:val="18"/>
                <w:szCs w:val="18"/>
                <w:shd w:val="clear" w:color="auto" w:fill="D9D9D9"/>
              </w:rPr>
              <w:t>综合能源消费量(41)</w:t>
            </w:r>
            <w:r>
              <w:rPr>
                <w:rFonts w:hint="eastAsia" w:ascii="宋体" w:hAnsi="宋体" w:cs="宋体"/>
                <w:sz w:val="18"/>
                <w:szCs w:val="18"/>
                <w:u w:val="single"/>
                <w:shd w:val="clear" w:color="auto" w:fill="D9D9D9"/>
              </w:rPr>
              <w:t xml:space="preserve">　        </w:t>
            </w:r>
            <w:r>
              <w:rPr>
                <w:rFonts w:hint="eastAsia" w:ascii="宋体" w:hAnsi="宋体" w:cs="宋体"/>
                <w:sz w:val="18"/>
                <w:szCs w:val="18"/>
                <w:shd w:val="clear" w:color="auto" w:fill="D9D9D9"/>
              </w:rPr>
              <w:t>吨标准煤</w:t>
            </w:r>
            <w:r>
              <w:rPr>
                <w:rFonts w:ascii="宋体" w:hAnsi="宋体" w:cs="宋体"/>
                <w:sz w:val="18"/>
                <w:szCs w:val="18"/>
                <w:shd w:val="clear" w:color="auto" w:fill="D9D9D9"/>
              </w:rPr>
              <w:t xml:space="preserve">          </w:t>
            </w:r>
            <w:r>
              <w:rPr>
                <w:rFonts w:hint="eastAsia" w:ascii="宋体" w:hAnsi="宋体" w:cs="宋体"/>
                <w:sz w:val="18"/>
                <w:szCs w:val="18"/>
                <w:shd w:val="clear" w:color="auto" w:fill="D9D9D9"/>
              </w:rPr>
              <w:t>综合能源消费量（当月）(42)</w:t>
            </w:r>
            <w:r>
              <w:rPr>
                <w:rFonts w:ascii="宋体" w:hAnsi="宋体" w:cs="宋体"/>
                <w:sz w:val="18"/>
                <w:szCs w:val="18"/>
                <w:u w:val="single"/>
                <w:shd w:val="clear" w:color="auto" w:fill="D9D9D9"/>
              </w:rPr>
              <w:t xml:space="preserve">      </w:t>
            </w:r>
            <w:r>
              <w:rPr>
                <w:rFonts w:hint="eastAsia" w:ascii="宋体" w:hAnsi="宋体" w:cs="宋体"/>
                <w:sz w:val="18"/>
                <w:szCs w:val="18"/>
                <w:shd w:val="clear" w:color="auto" w:fill="D9D9D9"/>
              </w:rPr>
              <w:t>吨标准煤</w:t>
            </w:r>
          </w:p>
          <w:p>
            <w:pPr>
              <w:spacing w:line="260" w:lineRule="exact"/>
              <w:rPr>
                <w:rFonts w:ascii="宋体" w:hAnsi="宋体" w:cs="宋体"/>
                <w:sz w:val="18"/>
                <w:szCs w:val="18"/>
              </w:rPr>
            </w:pPr>
            <w:r>
              <w:rPr>
                <w:rFonts w:hint="eastAsia" w:ascii="宋体" w:hAnsi="宋体" w:cs="宋体"/>
                <w:sz w:val="18"/>
                <w:szCs w:val="18"/>
              </w:rPr>
              <w:t>　　　　  　</w:t>
            </w:r>
            <w:r>
              <w:rPr>
                <w:rFonts w:hint="eastAsia" w:ascii="宋体" w:hAnsi="宋体" w:cs="宋体"/>
                <w:sz w:val="18"/>
                <w:szCs w:val="18"/>
                <w:shd w:val="clear" w:color="auto" w:fill="D9D9D9"/>
              </w:rPr>
              <w:t>工业生产</w:t>
            </w:r>
            <w:r>
              <w:rPr>
                <w:rFonts w:hint="eastAsia" w:ascii="宋体" w:hAnsi="宋体" w:cs="宋体"/>
                <w:sz w:val="18"/>
                <w:szCs w:val="18"/>
                <w:shd w:val="clear" w:color="auto" w:fill="D9D9D9"/>
              </w:rPr>
              <w:t>原煤</w:t>
            </w:r>
            <w:r>
              <w:rPr>
                <w:rFonts w:hint="eastAsia" w:ascii="宋体" w:hAnsi="宋体" w:cs="宋体"/>
                <w:sz w:val="18"/>
                <w:szCs w:val="18"/>
                <w:shd w:val="clear" w:color="auto" w:fill="D9D9D9"/>
              </w:rPr>
              <w:t>消费(43)</w:t>
            </w:r>
            <w:r>
              <w:rPr>
                <w:rFonts w:hint="eastAsia" w:ascii="宋体" w:hAnsi="宋体" w:cs="宋体"/>
                <w:sz w:val="18"/>
                <w:szCs w:val="18"/>
                <w:u w:val="single"/>
                <w:shd w:val="clear" w:color="auto" w:fill="D9D9D9"/>
              </w:rPr>
              <w:t xml:space="preserve">　      </w:t>
            </w:r>
            <w:r>
              <w:rPr>
                <w:rFonts w:ascii="宋体" w:hAnsi="宋体" w:cs="宋体"/>
                <w:sz w:val="18"/>
                <w:szCs w:val="18"/>
                <w:u w:val="single"/>
                <w:shd w:val="clear" w:color="auto" w:fill="D9D9D9"/>
              </w:rPr>
              <w:t xml:space="preserve">      </w:t>
            </w:r>
            <w:r>
              <w:rPr>
                <w:rFonts w:hint="eastAsia" w:ascii="宋体" w:hAnsi="宋体" w:cs="宋体"/>
                <w:sz w:val="18"/>
                <w:szCs w:val="18"/>
                <w:shd w:val="clear" w:color="auto" w:fill="D9D9D9"/>
              </w:rPr>
              <w:t>吨</w:t>
            </w:r>
            <w:r>
              <w:rPr>
                <w:rFonts w:ascii="宋体" w:hAnsi="宋体" w:cs="宋体"/>
                <w:sz w:val="18"/>
                <w:szCs w:val="18"/>
                <w:shd w:val="clear" w:color="auto" w:fill="D9D9D9"/>
              </w:rPr>
              <w:t xml:space="preserve">         </w:t>
            </w:r>
            <w:r>
              <w:rPr>
                <w:rFonts w:ascii="宋体" w:hAnsi="宋体" w:cs="宋体"/>
                <w:sz w:val="18"/>
                <w:szCs w:val="18"/>
                <w:shd w:val="clear" w:color="auto" w:fill="D9D9D9"/>
              </w:rPr>
              <w:t xml:space="preserve"> </w:t>
            </w:r>
            <w:r>
              <w:rPr>
                <w:rFonts w:hint="eastAsia" w:ascii="宋体" w:hAnsi="宋体" w:cs="宋体"/>
                <w:sz w:val="18"/>
                <w:szCs w:val="18"/>
                <w:shd w:val="clear" w:color="auto" w:fill="D9D9D9"/>
              </w:rPr>
              <w:t>原煤采用折标系数</w:t>
            </w:r>
            <w:r>
              <w:rPr>
                <w:rFonts w:ascii="宋体" w:hAnsi="宋体" w:cs="宋体"/>
                <w:sz w:val="18"/>
                <w:szCs w:val="18"/>
                <w:shd w:val="clear" w:color="auto" w:fill="D9D9D9"/>
              </w:rPr>
              <w:t>(44)</w:t>
            </w:r>
            <w:r>
              <w:rPr>
                <w:rFonts w:hint="eastAsia" w:ascii="宋体" w:hAnsi="宋体" w:cs="宋体"/>
                <w:sz w:val="18"/>
                <w:szCs w:val="18"/>
                <w:u w:val="single"/>
                <w:shd w:val="clear" w:color="auto" w:fill="D9D9D9"/>
              </w:rPr>
              <w:t xml:space="preserve">　       </w:t>
            </w:r>
            <w:r>
              <w:rPr>
                <w:rFonts w:hint="eastAsia" w:ascii="宋体" w:hAnsi="宋体" w:cs="宋体"/>
                <w:sz w:val="18"/>
                <w:szCs w:val="18"/>
                <w:u w:val="none"/>
                <w:shd w:val="clear" w:color="auto" w:fill="D9D9D9"/>
              </w:rPr>
              <w:t>吨标准煤</w:t>
            </w:r>
            <w:r>
              <w:rPr>
                <w:rFonts w:hint="eastAsia" w:ascii="宋体" w:hAnsi="宋体" w:cs="宋体"/>
                <w:sz w:val="18"/>
                <w:szCs w:val="18"/>
                <w:shd w:val="clear" w:color="auto" w:fill="D9D9D9"/>
              </w:rPr>
              <w:t>/</w:t>
            </w:r>
            <w:r>
              <w:rPr>
                <w:rFonts w:hint="eastAsia" w:ascii="宋体" w:hAnsi="宋体" w:cs="宋体"/>
                <w:sz w:val="18"/>
                <w:szCs w:val="18"/>
                <w:u w:val="none"/>
                <w:shd w:val="clear" w:color="auto" w:fill="D9D9D9"/>
              </w:rPr>
              <w:t>吨</w:t>
            </w:r>
          </w:p>
          <w:p>
            <w:pPr>
              <w:spacing w:line="260" w:lineRule="exact"/>
              <w:ind w:firstLine="1080" w:firstLineChars="600"/>
              <w:rPr>
                <w:rFonts w:ascii="宋体" w:hAnsi="宋体" w:cs="宋体"/>
                <w:sz w:val="18"/>
                <w:szCs w:val="18"/>
              </w:rPr>
            </w:pPr>
            <w:r>
              <w:rPr>
                <w:rFonts w:hint="eastAsia" w:ascii="宋体" w:hAnsi="宋体" w:cs="宋体"/>
                <w:sz w:val="18"/>
                <w:szCs w:val="18"/>
                <w:shd w:val="clear" w:color="auto" w:fill="D9D9D9"/>
              </w:rPr>
              <w:t>工业生产电力消费(45)</w:t>
            </w:r>
            <w:r>
              <w:rPr>
                <w:rFonts w:hint="eastAsia" w:ascii="宋体" w:hAnsi="宋体" w:cs="宋体"/>
                <w:sz w:val="18"/>
                <w:szCs w:val="18"/>
                <w:u w:val="single"/>
                <w:shd w:val="clear" w:color="auto" w:fill="D9D9D9"/>
              </w:rPr>
              <w:t xml:space="preserve">　　    </w:t>
            </w:r>
            <w:r>
              <w:rPr>
                <w:rFonts w:hint="eastAsia" w:ascii="宋体" w:hAnsi="宋体" w:cs="宋体"/>
                <w:sz w:val="18"/>
                <w:szCs w:val="18"/>
                <w:shd w:val="clear" w:color="auto" w:fill="D9D9D9"/>
              </w:rPr>
              <w:t>万千瓦时</w:t>
            </w:r>
            <w:r>
              <w:rPr>
                <w:rFonts w:ascii="宋体" w:hAnsi="宋体" w:cs="宋体"/>
                <w:sz w:val="18"/>
                <w:szCs w:val="18"/>
                <w:shd w:val="clear" w:color="auto" w:fill="D9D9D9"/>
              </w:rPr>
              <w:t xml:space="preserve">          </w:t>
            </w:r>
            <w:r>
              <w:rPr>
                <w:rFonts w:hint="eastAsia" w:ascii="宋体" w:hAnsi="宋体" w:cs="宋体"/>
                <w:sz w:val="18"/>
                <w:szCs w:val="18"/>
                <w:shd w:val="clear" w:color="auto" w:fill="D9D9D9"/>
              </w:rPr>
              <w:t>电力产出(46)</w:t>
            </w:r>
            <w:r>
              <w:rPr>
                <w:rFonts w:hint="eastAsia" w:ascii="宋体" w:hAnsi="宋体" w:cs="宋体"/>
                <w:sz w:val="18"/>
                <w:szCs w:val="18"/>
                <w:u w:val="single"/>
                <w:shd w:val="clear" w:color="auto" w:fill="D9D9D9"/>
              </w:rPr>
              <w:t xml:space="preserve">　                  </w:t>
            </w:r>
            <w:r>
              <w:rPr>
                <w:rFonts w:hint="eastAsia" w:ascii="宋体" w:hAnsi="宋体" w:cs="宋体"/>
                <w:sz w:val="18"/>
                <w:szCs w:val="18"/>
                <w:shd w:val="clear" w:color="auto" w:fill="D9D9D9"/>
              </w:rPr>
              <w:t>万千瓦时</w:t>
            </w:r>
          </w:p>
          <w:p>
            <w:pPr>
              <w:spacing w:line="260" w:lineRule="exact"/>
              <w:ind w:firstLine="1080" w:firstLineChars="600"/>
              <w:rPr>
                <w:rFonts w:ascii="宋体" w:hAnsi="宋体" w:cs="宋体"/>
                <w:sz w:val="18"/>
                <w:szCs w:val="18"/>
              </w:rPr>
            </w:pPr>
            <w:r>
              <w:rPr>
                <w:rFonts w:hint="eastAsia" w:ascii="宋体" w:hAnsi="宋体" w:cs="宋体"/>
                <w:sz w:val="18"/>
                <w:szCs w:val="18"/>
                <w:shd w:val="clear" w:color="auto" w:fill="D9D9D9"/>
              </w:rPr>
              <w:t>火力发电投入(47)</w:t>
            </w:r>
            <w:r>
              <w:rPr>
                <w:rFonts w:hint="eastAsia" w:ascii="宋体" w:hAnsi="宋体" w:cs="宋体"/>
                <w:sz w:val="18"/>
                <w:szCs w:val="18"/>
                <w:u w:val="single"/>
                <w:shd w:val="clear" w:color="auto" w:fill="D9D9D9"/>
              </w:rPr>
              <w:t xml:space="preserve">　      　  </w:t>
            </w:r>
            <w:r>
              <w:rPr>
                <w:rFonts w:hint="eastAsia" w:ascii="宋体" w:hAnsi="宋体" w:cs="宋体"/>
                <w:sz w:val="18"/>
                <w:szCs w:val="18"/>
                <w:shd w:val="clear" w:color="auto" w:fill="D9D9D9"/>
              </w:rPr>
              <w:t>吨标准煤</w:t>
            </w:r>
            <w:r>
              <w:rPr>
                <w:rFonts w:ascii="宋体" w:hAnsi="宋体" w:cs="宋体"/>
                <w:sz w:val="18"/>
                <w:szCs w:val="18"/>
              </w:rPr>
              <w:t xml:space="preserve">                    </w:t>
            </w:r>
          </w:p>
          <w:p>
            <w:pPr>
              <w:adjustRightInd w:val="0"/>
              <w:spacing w:line="260" w:lineRule="exact"/>
              <w:ind w:firstLine="180" w:firstLineChars="100"/>
              <w:rPr>
                <w:sz w:val="18"/>
                <w:szCs w:val="18"/>
              </w:rPr>
            </w:pPr>
            <w:r>
              <w:rPr>
                <w:rFonts w:hint="eastAsia" w:ascii="宋体" w:hAnsi="宋体" w:cs="宋体"/>
                <w:sz w:val="18"/>
                <w:szCs w:val="18"/>
              </w:rPr>
              <w:t>本</w:t>
            </w:r>
            <w:r>
              <w:rPr>
                <w:rFonts w:ascii="宋体" w:hAnsi="宋体" w:cs="宋体"/>
                <w:sz w:val="18"/>
                <w:szCs w:val="18"/>
              </w:rPr>
              <w:t xml:space="preserve">    </w:t>
            </w:r>
            <w:r>
              <w:rPr>
                <w:rFonts w:hint="eastAsia" w:ascii="宋体" w:hAnsi="宋体" w:cs="宋体"/>
                <w:sz w:val="18"/>
                <w:szCs w:val="18"/>
              </w:rPr>
              <w:t>期：综合能源消费量(48)</w:t>
            </w:r>
            <w:r>
              <w:rPr>
                <w:rFonts w:hint="eastAsia" w:ascii="宋体" w:hAnsi="宋体" w:cs="宋体"/>
                <w:sz w:val="18"/>
                <w:szCs w:val="18"/>
                <w:u w:val="single"/>
              </w:rPr>
              <w:t xml:space="preserve">　        </w:t>
            </w:r>
            <w:r>
              <w:rPr>
                <w:rFonts w:hint="eastAsia" w:ascii="宋体" w:hAnsi="宋体" w:cs="宋体"/>
                <w:sz w:val="18"/>
                <w:szCs w:val="18"/>
              </w:rPr>
              <w:t>吨标准煤</w:t>
            </w:r>
            <w:r>
              <w:rPr>
                <w:rFonts w:ascii="宋体" w:hAnsi="宋体" w:cs="宋体"/>
                <w:sz w:val="18"/>
                <w:szCs w:val="18"/>
              </w:rPr>
              <w:t xml:space="preserve">          </w:t>
            </w:r>
            <w:r>
              <w:rPr>
                <w:rFonts w:hint="eastAsia" w:ascii="宋体" w:hAnsi="宋体" w:cs="宋体"/>
                <w:sz w:val="18"/>
                <w:szCs w:val="18"/>
              </w:rPr>
              <w:t>综合能源消费量（当月）(49)</w:t>
            </w:r>
            <w:r>
              <w:rPr>
                <w:rFonts w:ascii="宋体" w:hAnsi="宋体" w:cs="宋体"/>
                <w:sz w:val="18"/>
                <w:szCs w:val="18"/>
                <w:u w:val="single"/>
              </w:rPr>
              <w:t xml:space="preserve">      </w:t>
            </w:r>
            <w:r>
              <w:rPr>
                <w:rFonts w:hint="eastAsia" w:ascii="宋体" w:hAnsi="宋体" w:cs="宋体"/>
                <w:sz w:val="18"/>
                <w:szCs w:val="18"/>
              </w:rPr>
              <w:t xml:space="preserve">吨标准煤 </w:t>
            </w:r>
            <w:r>
              <w:rPr>
                <w:sz w:val="18"/>
                <w:szCs w:val="18"/>
              </w:rPr>
              <w:t xml:space="preserve"> </w:t>
            </w:r>
          </w:p>
        </w:tc>
      </w:tr>
    </w:tbl>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tabs>
          <w:tab w:val="left" w:pos="5430"/>
        </w:tabs>
        <w:adjustRightInd w:val="0"/>
        <w:spacing w:line="320" w:lineRule="exact"/>
        <w:ind w:right="-6" w:rightChars="-3"/>
        <w:rPr>
          <w:bCs/>
          <w:sz w:val="18"/>
          <w:szCs w:val="18"/>
        </w:rPr>
      </w:pPr>
    </w:p>
    <w:p>
      <w:pPr>
        <w:tabs>
          <w:tab w:val="left" w:pos="5430"/>
        </w:tabs>
        <w:adjustRightInd w:val="0"/>
        <w:spacing w:line="280" w:lineRule="exact"/>
        <w:ind w:right="-6" w:rightChars="-3"/>
        <w:rPr>
          <w:rFonts w:ascii="宋体" w:hAnsi="宋体" w:cs="宋体"/>
          <w:sz w:val="18"/>
          <w:szCs w:val="18"/>
        </w:rPr>
      </w:pPr>
      <w:r>
        <w:rPr>
          <w:bCs/>
          <w:spacing w:val="-4"/>
          <w:sz w:val="18"/>
          <w:szCs w:val="18"/>
        </w:rPr>
        <w:t>说明：</w:t>
      </w:r>
      <w:r>
        <w:rPr>
          <w:rFonts w:ascii="宋体" w:hAnsi="宋体" w:cs="宋体"/>
          <w:bCs/>
          <w:spacing w:val="-4"/>
          <w:sz w:val="18"/>
          <w:szCs w:val="18"/>
        </w:rPr>
        <w:t>1.</w:t>
      </w:r>
      <w:r>
        <w:rPr>
          <w:rFonts w:hint="eastAsia" w:ascii="宋体" w:hAnsi="宋体" w:cs="宋体"/>
          <w:bCs/>
          <w:sz w:val="18"/>
        </w:rPr>
        <w:t>统计范围：</w:t>
      </w:r>
      <w:r>
        <w:rPr>
          <w:rFonts w:hint="eastAsia" w:ascii="宋体" w:hAnsi="宋体" w:cs="宋体"/>
          <w:sz w:val="18"/>
          <w:szCs w:val="18"/>
        </w:rPr>
        <w:t>辖区内规模以上工业法人单位。</w:t>
      </w:r>
    </w:p>
    <w:p>
      <w:pPr>
        <w:spacing w:line="280" w:lineRule="exact"/>
        <w:ind w:left="158" w:leftChars="75" w:firstLine="360" w:firstLineChars="200"/>
        <w:rPr>
          <w:rFonts w:ascii="宋体" w:hAnsi="宋体"/>
          <w:sz w:val="18"/>
          <w:szCs w:val="18"/>
        </w:rPr>
      </w:pPr>
      <w:r>
        <w:rPr>
          <w:rFonts w:hint="eastAsia" w:ascii="宋体" w:hAnsi="宋体" w:cs="宋体"/>
          <w:sz w:val="18"/>
        </w:rPr>
        <w:t>2.报送日期及方式：调查单位</w:t>
      </w:r>
      <w:r>
        <w:rPr>
          <w:rFonts w:hint="eastAsia" w:ascii="宋体" w:hAnsi="宋体"/>
          <w:sz w:val="18"/>
          <w:szCs w:val="18"/>
        </w:rPr>
        <w:t>2、10月月后5日，3、4月月后8日，5、6、8、11、12月月后7日，7月月后6日，</w:t>
      </w:r>
    </w:p>
    <w:p>
      <w:pPr>
        <w:spacing w:line="280" w:lineRule="exact"/>
        <w:ind w:left="158" w:leftChars="75" w:firstLine="1980" w:firstLineChars="1100"/>
        <w:rPr>
          <w:rFonts w:ascii="宋体" w:hAnsi="宋体"/>
          <w:sz w:val="18"/>
          <w:szCs w:val="18"/>
        </w:rPr>
      </w:pPr>
      <w:r>
        <w:rPr>
          <w:rFonts w:hint="eastAsia" w:ascii="宋体" w:hAnsi="宋体"/>
          <w:sz w:val="18"/>
          <w:szCs w:val="18"/>
        </w:rPr>
        <w:t>9月月后9日12:00前</w:t>
      </w:r>
      <w:r>
        <w:rPr>
          <w:rFonts w:hint="eastAsia" w:ascii="宋体" w:hAnsi="宋体" w:cs="宋体"/>
          <w:sz w:val="18"/>
        </w:rPr>
        <w:t>独立自行网上填报，1月免报；</w:t>
      </w:r>
      <w:r>
        <w:rPr>
          <w:rFonts w:hint="eastAsia" w:ascii="宋体" w:hAnsi="宋体" w:cs="宋体"/>
          <w:sz w:val="18"/>
        </w:rPr>
        <w:t>市</w:t>
      </w:r>
      <w:r>
        <w:rPr>
          <w:rFonts w:hint="eastAsia" w:ascii="宋体" w:hAnsi="宋体" w:cs="宋体"/>
          <w:sz w:val="18"/>
        </w:rPr>
        <w:t>级统计机构</w:t>
      </w:r>
      <w:r>
        <w:rPr>
          <w:rFonts w:hint="eastAsia" w:ascii="宋体" w:hAnsi="宋体"/>
          <w:sz w:val="18"/>
          <w:szCs w:val="18"/>
        </w:rPr>
        <w:t>2、5、6、7、8、10、11</w:t>
      </w:r>
    </w:p>
    <w:p>
      <w:pPr>
        <w:spacing w:line="280" w:lineRule="exact"/>
        <w:ind w:left="147" w:leftChars="70" w:firstLine="1980" w:firstLineChars="1100"/>
        <w:rPr>
          <w:rFonts w:ascii="宋体" w:hAnsi="宋体" w:cs="宋体"/>
          <w:sz w:val="18"/>
          <w:szCs w:val="18"/>
        </w:rPr>
      </w:pPr>
      <w:r>
        <w:rPr>
          <w:rFonts w:hint="eastAsia" w:ascii="宋体" w:hAnsi="宋体"/>
          <w:sz w:val="18"/>
          <w:szCs w:val="18"/>
        </w:rPr>
        <w:t>月月后9日，3、4、12月月后10日，9月月后12日12:00</w:t>
      </w:r>
      <w:r>
        <w:rPr>
          <w:rFonts w:hint="eastAsia" w:ascii="宋体" w:hAnsi="宋体" w:cs="宋体"/>
          <w:sz w:val="18"/>
        </w:rPr>
        <w:t>前完成数据审核、验收、上报。</w:t>
      </w:r>
    </w:p>
    <w:p>
      <w:pPr>
        <w:spacing w:line="280" w:lineRule="exact"/>
        <w:ind w:left="2062" w:leftChars="245" w:hanging="1548" w:hangingChars="860"/>
        <w:rPr>
          <w:rFonts w:ascii="宋体" w:hAnsi="宋体" w:cs="宋体"/>
          <w:sz w:val="18"/>
        </w:rPr>
      </w:pPr>
      <w:r>
        <w:rPr>
          <w:rFonts w:ascii="宋体" w:hAnsi="宋体" w:cs="宋体"/>
          <w:sz w:val="18"/>
          <w:szCs w:val="18"/>
        </w:rPr>
        <w:t>3.</w:t>
      </w:r>
      <w:r>
        <w:rPr>
          <w:rFonts w:hint="eastAsia" w:ascii="宋体" w:hAnsi="宋体" w:cs="宋体"/>
          <w:bCs/>
          <w:spacing w:val="-4"/>
          <w:sz w:val="18"/>
          <w:szCs w:val="18"/>
        </w:rPr>
        <w:t>本表</w:t>
      </w:r>
      <w:r>
        <w:rPr>
          <w:rFonts w:hint="eastAsia" w:ascii="宋体" w:hAnsi="宋体" w:cs="宋体"/>
          <w:bCs/>
          <w:sz w:val="18"/>
        </w:rPr>
        <w:t>甲栏下按《能源购进、消费与库存和能源加工转换与回收利用目录</w:t>
      </w:r>
      <w:r>
        <w:rPr>
          <w:rFonts w:hint="eastAsia" w:ascii="宋体" w:hAnsi="宋体" w:cs="宋体"/>
          <w:bCs/>
          <w:spacing w:val="8"/>
          <w:sz w:val="18"/>
          <w:szCs w:val="18"/>
        </w:rPr>
        <w:t>》</w:t>
      </w:r>
      <w:r>
        <w:rPr>
          <w:rFonts w:hint="eastAsia" w:ascii="宋体" w:hAnsi="宋体" w:cs="宋体"/>
          <w:bCs/>
          <w:sz w:val="18"/>
        </w:rPr>
        <w:t>填报。</w:t>
      </w:r>
    </w:p>
    <w:p>
      <w:pPr>
        <w:spacing w:line="280" w:lineRule="exact"/>
        <w:ind w:left="639" w:leftChars="245" w:hanging="125" w:hangingChars="70"/>
        <w:jc w:val="left"/>
        <w:rPr>
          <w:rFonts w:ascii="宋体" w:hAnsi="宋体" w:cs="宋体"/>
          <w:sz w:val="18"/>
        </w:rPr>
      </w:pPr>
      <w:r>
        <w:rPr>
          <w:rFonts w:ascii="宋体" w:hAnsi="宋体" w:cs="宋体"/>
          <w:bCs/>
          <w:sz w:val="18"/>
          <w:szCs w:val="18"/>
        </w:rPr>
        <w:t>4</w:t>
      </w:r>
      <w:r>
        <w:rPr>
          <w:rFonts w:hint="eastAsia" w:ascii="宋体" w:hAnsi="宋体" w:cs="宋体"/>
          <w:sz w:val="18"/>
        </w:rPr>
        <w:t>.本</w:t>
      </w:r>
      <w:r>
        <w:rPr>
          <w:rFonts w:hint="eastAsia" w:ascii="宋体" w:hAnsi="宋体" w:cs="宋体"/>
          <w:sz w:val="18"/>
        </w:rPr>
        <w:t>表中“上年同期”数据统一由国家统计局在数据处理软件中复制，调查单位和各级统计机构原则上不得修改；</w:t>
      </w:r>
    </w:p>
    <w:p>
      <w:pPr>
        <w:spacing w:line="280" w:lineRule="exact"/>
        <w:ind w:left="639" w:leftChars="245" w:hanging="125" w:hangingChars="70"/>
        <w:jc w:val="left"/>
        <w:rPr>
          <w:rFonts w:ascii="宋体" w:hAnsi="宋体" w:cs="宋体"/>
          <w:sz w:val="18"/>
        </w:rPr>
      </w:pPr>
      <w:r>
        <w:rPr>
          <w:rFonts w:hint="eastAsia" w:ascii="宋体" w:hAnsi="宋体" w:cs="宋体"/>
          <w:sz w:val="18"/>
        </w:rPr>
        <w:t xml:space="preserve">  本年新增的调查单位自行填报“上年同期”数据；涉及兼并、重组等情况的企业，经国家统计局批准后，调查</w:t>
      </w:r>
    </w:p>
    <w:p>
      <w:pPr>
        <w:spacing w:line="280" w:lineRule="exact"/>
        <w:ind w:left="819" w:leftChars="330" w:hanging="126" w:firstLineChars="0"/>
        <w:jc w:val="left"/>
        <w:rPr>
          <w:rFonts w:ascii="宋体" w:hAnsi="宋体" w:cs="宋体"/>
          <w:sz w:val="18"/>
        </w:rPr>
      </w:pPr>
      <w:r>
        <w:rPr>
          <w:rFonts w:hint="eastAsia" w:ascii="宋体" w:hAnsi="宋体" w:cs="宋体"/>
          <w:sz w:val="18"/>
        </w:rPr>
        <w:t>单位可调整同期数；本年新增指标的同期数由调查单位自行填报。</w:t>
      </w:r>
    </w:p>
    <w:p>
      <w:pPr>
        <w:spacing w:line="280" w:lineRule="exact"/>
        <w:ind w:left="668" w:leftChars="245" w:hanging="154" w:hangingChars="86"/>
        <w:jc w:val="left"/>
        <w:rPr>
          <w:rFonts w:ascii="宋体" w:hAnsi="宋体" w:cs="宋体"/>
          <w:bCs/>
          <w:spacing w:val="-4"/>
          <w:sz w:val="18"/>
          <w:szCs w:val="18"/>
        </w:rPr>
      </w:pPr>
      <w:r>
        <w:rPr>
          <w:rFonts w:ascii="宋体" w:hAnsi="宋体" w:cs="宋体"/>
          <w:bCs/>
          <w:sz w:val="18"/>
        </w:rPr>
        <w:t>5.</w:t>
      </w:r>
      <w:r>
        <w:rPr>
          <w:rFonts w:hint="eastAsia" w:ascii="宋体" w:hAnsi="宋体" w:cs="宋体"/>
          <w:bCs/>
          <w:spacing w:val="-4"/>
          <w:sz w:val="18"/>
          <w:szCs w:val="18"/>
        </w:rPr>
        <w:t>综合能源消费量计算方法：</w:t>
      </w:r>
    </w:p>
    <w:p>
      <w:pPr>
        <w:spacing w:line="280" w:lineRule="exact"/>
        <w:ind w:firstLine="666" w:firstLineChars="370"/>
        <w:rPr>
          <w:rFonts w:ascii="宋体" w:hAnsi="宋体" w:cs="宋体"/>
          <w:sz w:val="18"/>
          <w:szCs w:val="18"/>
        </w:rPr>
      </w:pPr>
      <w:r>
        <w:rPr>
          <w:rFonts w:hint="eastAsia" w:ascii="宋体" w:hAnsi="宋体" w:cs="宋体"/>
          <w:sz w:val="18"/>
          <w:szCs w:val="18"/>
        </w:rPr>
        <w:t>(1)没有能源加工转换和回收利用</w:t>
      </w:r>
      <w:r>
        <w:rPr>
          <w:rFonts w:hint="eastAsia" w:ascii="宋体" w:hAnsi="宋体" w:cs="宋体"/>
          <w:sz w:val="18"/>
          <w:szCs w:val="18"/>
        </w:rPr>
        <w:t>活动</w:t>
      </w:r>
      <w:r>
        <w:rPr>
          <w:rFonts w:hint="eastAsia" w:ascii="宋体" w:hAnsi="宋体" w:cs="宋体"/>
          <w:sz w:val="18"/>
          <w:szCs w:val="18"/>
        </w:rPr>
        <w:t>的调查单位：</w:t>
      </w:r>
    </w:p>
    <w:p>
      <w:pPr>
        <w:spacing w:line="280" w:lineRule="exact"/>
        <w:ind w:firstLine="934" w:firstLineChars="519"/>
        <w:rPr>
          <w:rFonts w:ascii="宋体" w:hAnsi="宋体" w:cs="宋体"/>
          <w:sz w:val="18"/>
          <w:szCs w:val="18"/>
        </w:rPr>
      </w:pPr>
      <w:r>
        <w:rPr>
          <w:rFonts w:hint="eastAsia" w:ascii="宋体" w:hAnsi="宋体" w:cs="宋体"/>
          <w:sz w:val="18"/>
          <w:szCs w:val="18"/>
        </w:rPr>
        <w:t>综合能源消费量(48)=工业生产消费(本表第5列能源合计)</w:t>
      </w:r>
    </w:p>
    <w:p>
      <w:pPr>
        <w:spacing w:line="280" w:lineRule="exact"/>
        <w:ind w:left="651" w:leftChars="310"/>
        <w:rPr>
          <w:rFonts w:ascii="宋体" w:hAnsi="宋体" w:cs="宋体"/>
          <w:sz w:val="18"/>
          <w:szCs w:val="18"/>
        </w:rPr>
      </w:pPr>
      <w:r>
        <w:rPr>
          <w:rFonts w:hint="eastAsia" w:ascii="宋体" w:hAnsi="宋体" w:cs="宋体"/>
          <w:sz w:val="18"/>
          <w:szCs w:val="18"/>
        </w:rPr>
        <w:t>(2)有能源加工转换或回收利用</w:t>
      </w:r>
      <w:r>
        <w:rPr>
          <w:rFonts w:hint="eastAsia" w:ascii="宋体" w:hAnsi="宋体" w:cs="宋体"/>
          <w:sz w:val="18"/>
          <w:szCs w:val="18"/>
        </w:rPr>
        <w:t>活动</w:t>
      </w:r>
      <w:r>
        <w:rPr>
          <w:rFonts w:hint="eastAsia" w:ascii="宋体" w:hAnsi="宋体" w:cs="宋体"/>
          <w:sz w:val="18"/>
          <w:szCs w:val="18"/>
        </w:rPr>
        <w:t>的调查单位：</w:t>
      </w:r>
    </w:p>
    <w:p>
      <w:pPr>
        <w:spacing w:line="280" w:lineRule="exact"/>
        <w:ind w:left="945" w:leftChars="450" w:firstLine="0" w:firstLineChars="0"/>
        <w:rPr>
          <w:rFonts w:ascii="宋体" w:hAnsi="宋体" w:cs="宋体"/>
          <w:sz w:val="18"/>
          <w:szCs w:val="18"/>
        </w:rPr>
      </w:pPr>
      <w:r>
        <w:rPr>
          <w:rFonts w:hint="eastAsia" w:ascii="宋体" w:hAnsi="宋体" w:cs="宋体"/>
          <w:sz w:val="18"/>
          <w:szCs w:val="18"/>
        </w:rPr>
        <w:t>综合能源消费量(48)=工业生产消费(本表第5列能源合计)-能源加工转换产出(205-2表第11列能源合计)-回收利用(205-2表第12列能源合计)</w:t>
      </w:r>
    </w:p>
    <w:p>
      <w:pPr>
        <w:spacing w:line="280" w:lineRule="exact"/>
        <w:ind w:left="668" w:leftChars="245" w:hanging="154" w:hangingChars="86"/>
        <w:jc w:val="left"/>
        <w:rPr>
          <w:rFonts w:ascii="宋体" w:hAnsi="宋体" w:cs="宋体"/>
          <w:bCs/>
          <w:sz w:val="18"/>
        </w:rPr>
      </w:pPr>
      <w:r>
        <w:rPr>
          <w:rFonts w:hint="eastAsia" w:ascii="宋体" w:hAnsi="宋体" w:cs="宋体"/>
          <w:bCs/>
          <w:sz w:val="18"/>
        </w:rPr>
        <w:t>6.补充资料中的上年同期和本期的综合能源消费量（当月）2月份免报，计算公式：</w:t>
      </w:r>
    </w:p>
    <w:p>
      <w:pPr>
        <w:spacing w:line="280" w:lineRule="exact"/>
        <w:ind w:left="668" w:leftChars="245" w:hanging="154" w:hangingChars="86"/>
        <w:jc w:val="left"/>
        <w:rPr>
          <w:rFonts w:ascii="宋体" w:hAnsi="宋体" w:cs="宋体"/>
          <w:bCs/>
          <w:sz w:val="18"/>
        </w:rPr>
      </w:pPr>
      <w:r>
        <w:rPr>
          <w:rFonts w:hint="eastAsia" w:ascii="宋体" w:hAnsi="宋体" w:cs="宋体"/>
          <w:bCs/>
          <w:sz w:val="18"/>
        </w:rPr>
        <w:t xml:space="preserve">  上年同期：综合能源消费量（当月）（42）=本月  综合能源消费量（41）-上月  综合能源消费量（41）</w:t>
      </w:r>
    </w:p>
    <w:p>
      <w:pPr>
        <w:spacing w:line="280" w:lineRule="exact"/>
        <w:ind w:left="668" w:leftChars="245" w:hanging="154" w:hangingChars="86"/>
        <w:jc w:val="left"/>
        <w:rPr>
          <w:rFonts w:ascii="宋体" w:hAnsi="宋体" w:cs="宋体"/>
          <w:bCs/>
          <w:sz w:val="18"/>
        </w:rPr>
      </w:pPr>
      <w:r>
        <w:rPr>
          <w:rFonts w:hint="eastAsia" w:ascii="宋体" w:hAnsi="宋体" w:cs="宋体"/>
          <w:bCs/>
          <w:sz w:val="18"/>
        </w:rPr>
        <w:t xml:space="preserve">  本    期：综合能源消费量（当月）（49）=本月  综合能源消费量（48）-上月  综合能源消费量（48）</w:t>
      </w:r>
    </w:p>
    <w:p>
      <w:pPr>
        <w:snapToGrid w:val="0"/>
        <w:spacing w:beforeLines="100" w:afterLines="100"/>
        <w:jc w:val="center"/>
        <w:outlineLvl w:val="2"/>
        <w:rPr>
          <w:sz w:val="32"/>
        </w:rPr>
      </w:pPr>
      <w:r>
        <w:rPr>
          <w:rFonts w:ascii="宋体" w:hAnsi="宋体" w:cs="宋体"/>
        </w:rPr>
        <w:br w:type="page"/>
      </w:r>
      <w:r>
        <w:rPr>
          <w:sz w:val="32"/>
        </w:rPr>
        <w:t>能源加工转换与回收利用</w:t>
      </w:r>
    </w:p>
    <w:tbl>
      <w:tblPr>
        <w:tblStyle w:val="25"/>
        <w:tblW w:w="9432" w:type="dxa"/>
        <w:jc w:val="center"/>
        <w:tblInd w:w="0" w:type="dxa"/>
        <w:tblLayout w:type="fixed"/>
        <w:tblCellMar>
          <w:top w:w="0" w:type="dxa"/>
          <w:left w:w="0" w:type="dxa"/>
          <w:bottom w:w="0" w:type="dxa"/>
          <w:right w:w="0" w:type="dxa"/>
        </w:tblCellMar>
      </w:tblPr>
      <w:tblGrid>
        <w:gridCol w:w="3181"/>
        <w:gridCol w:w="790"/>
        <w:gridCol w:w="2889"/>
        <w:gridCol w:w="868"/>
        <w:gridCol w:w="1704"/>
      </w:tblGrid>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p>
        </w:tc>
        <w:tc>
          <w:tcPr>
            <w:tcW w:w="790" w:type="dxa"/>
          </w:tcPr>
          <w:p>
            <w:pPr>
              <w:spacing w:line="260" w:lineRule="exact"/>
              <w:rPr>
                <w:sz w:val="18"/>
                <w:szCs w:val="18"/>
              </w:rPr>
            </w:pPr>
          </w:p>
        </w:tc>
        <w:tc>
          <w:tcPr>
            <w:tcW w:w="2889" w:type="dxa"/>
          </w:tcPr>
          <w:p>
            <w:pPr>
              <w:spacing w:line="260" w:lineRule="exact"/>
              <w:rPr>
                <w:sz w:val="18"/>
                <w:szCs w:val="18"/>
              </w:rPr>
            </w:pPr>
          </w:p>
        </w:tc>
        <w:tc>
          <w:tcPr>
            <w:tcW w:w="868" w:type="dxa"/>
            <w:tcMar>
              <w:left w:w="0" w:type="dxa"/>
              <w:right w:w="0" w:type="dxa"/>
            </w:tcMar>
          </w:tcPr>
          <w:p>
            <w:pPr>
              <w:spacing w:line="260" w:lineRule="exact"/>
              <w:rPr>
                <w:sz w:val="18"/>
                <w:szCs w:val="18"/>
              </w:rPr>
            </w:pPr>
            <w:r>
              <w:rPr>
                <w:sz w:val="18"/>
                <w:szCs w:val="18"/>
              </w:rPr>
              <w:t>表    号：</w:t>
            </w:r>
          </w:p>
        </w:tc>
        <w:tc>
          <w:tcPr>
            <w:tcW w:w="1704" w:type="dxa"/>
            <w:vAlign w:val="center"/>
          </w:tcPr>
          <w:p>
            <w:pPr>
              <w:spacing w:line="260" w:lineRule="exact"/>
              <w:jc w:val="distribute"/>
              <w:rPr>
                <w:spacing w:val="-2"/>
                <w:kern w:val="0"/>
                <w:sz w:val="18"/>
                <w:szCs w:val="18"/>
              </w:rPr>
            </w:pPr>
            <w:r>
              <w:rPr>
                <w:spacing w:val="-2"/>
                <w:kern w:val="0"/>
                <w:sz w:val="18"/>
                <w:szCs w:val="18"/>
              </w:rPr>
              <w:t>２０５－２表</w:t>
            </w:r>
          </w:p>
        </w:tc>
      </w:tr>
      <w:tr>
        <w:tblPrEx>
          <w:tblLayout w:type="fixed"/>
          <w:tblCellMar>
            <w:top w:w="0" w:type="dxa"/>
            <w:left w:w="0" w:type="dxa"/>
            <w:bottom w:w="0" w:type="dxa"/>
            <w:right w:w="0" w:type="dxa"/>
          </w:tblCellMar>
        </w:tblPrEx>
        <w:trPr>
          <w:jc w:val="center"/>
        </w:trPr>
        <w:tc>
          <w:tcPr>
            <w:tcW w:w="6860" w:type="dxa"/>
            <w:gridSpan w:val="3"/>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868" w:type="dxa"/>
            <w:tcMar>
              <w:left w:w="0" w:type="dxa"/>
              <w:right w:w="0" w:type="dxa"/>
            </w:tcMar>
            <w:vAlign w:val="center"/>
          </w:tcPr>
          <w:p>
            <w:pPr>
              <w:spacing w:line="260" w:lineRule="exact"/>
              <w:rPr>
                <w:sz w:val="18"/>
                <w:szCs w:val="18"/>
              </w:rPr>
            </w:pPr>
            <w:r>
              <w:rPr>
                <w:sz w:val="18"/>
                <w:szCs w:val="18"/>
              </w:rPr>
              <w:t>制定机关：</w:t>
            </w:r>
          </w:p>
        </w:tc>
        <w:tc>
          <w:tcPr>
            <w:tcW w:w="1704" w:type="dxa"/>
            <w:vAlign w:val="center"/>
          </w:tcPr>
          <w:p>
            <w:pPr>
              <w:spacing w:line="260" w:lineRule="exact"/>
              <w:jc w:val="distribute"/>
              <w:rPr>
                <w:spacing w:val="-2"/>
                <w:kern w:val="0"/>
                <w:sz w:val="18"/>
                <w:szCs w:val="18"/>
              </w:rPr>
            </w:pPr>
            <w:r>
              <w:rPr>
                <w:spacing w:val="-2"/>
                <w:kern w:val="0"/>
                <w:sz w:val="18"/>
                <w:szCs w:val="18"/>
              </w:rPr>
              <w:t>国 家 统 计 局</w:t>
            </w:r>
          </w:p>
        </w:tc>
      </w:tr>
      <w:tr>
        <w:tblPrEx>
          <w:tblLayout w:type="fixed"/>
          <w:tblCellMar>
            <w:top w:w="0" w:type="dxa"/>
            <w:left w:w="0" w:type="dxa"/>
            <w:bottom w:w="0" w:type="dxa"/>
            <w:right w:w="0" w:type="dxa"/>
          </w:tblCellMar>
        </w:tblPrEx>
        <w:trPr>
          <w:jc w:val="center"/>
        </w:trPr>
        <w:tc>
          <w:tcPr>
            <w:tcW w:w="6860" w:type="dxa"/>
            <w:gridSpan w:val="3"/>
          </w:tcPr>
          <w:p>
            <w:pPr>
              <w:spacing w:line="260" w:lineRule="exac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868" w:type="dxa"/>
            <w:tcMar>
              <w:left w:w="0" w:type="dxa"/>
              <w:right w:w="0" w:type="dxa"/>
            </w:tcMar>
            <w:vAlign w:val="center"/>
          </w:tcPr>
          <w:p>
            <w:pPr>
              <w:spacing w:line="260" w:lineRule="exact"/>
              <w:rPr>
                <w:sz w:val="18"/>
                <w:szCs w:val="18"/>
              </w:rPr>
            </w:pPr>
            <w:r>
              <w:rPr>
                <w:sz w:val="18"/>
                <w:szCs w:val="18"/>
              </w:rPr>
              <w:t>文    号：</w:t>
            </w:r>
          </w:p>
        </w:tc>
        <w:tc>
          <w:tcPr>
            <w:tcW w:w="1704" w:type="dxa"/>
            <w:vAlign w:val="center"/>
          </w:tcPr>
          <w:p>
            <w:pPr>
              <w:spacing w:line="260" w:lineRule="exact"/>
              <w:jc w:val="distribute"/>
              <w:rPr>
                <w:spacing w:val="-2"/>
                <w:kern w:val="0"/>
                <w:sz w:val="18"/>
                <w:szCs w:val="18"/>
              </w:rPr>
            </w:pPr>
            <w:r>
              <w:rPr>
                <w:rFonts w:hint="eastAsia" w:ascii="宋体" w:hAnsi="宋体"/>
                <w:spacing w:val="-2"/>
                <w:kern w:val="0"/>
                <w:sz w:val="18"/>
                <w:szCs w:val="18"/>
              </w:rPr>
              <w:t>国统字〔2020〕105 号</w:t>
            </w:r>
          </w:p>
        </w:tc>
      </w:tr>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r>
              <w:rPr>
                <w:sz w:val="18"/>
              </w:rPr>
              <w:t>单位详细名称：</w:t>
            </w:r>
          </w:p>
        </w:tc>
        <w:tc>
          <w:tcPr>
            <w:tcW w:w="790" w:type="dxa"/>
          </w:tcPr>
          <w:p>
            <w:pPr>
              <w:spacing w:line="260" w:lineRule="exact"/>
              <w:rPr>
                <w:sz w:val="18"/>
                <w:szCs w:val="18"/>
              </w:rPr>
            </w:pPr>
          </w:p>
        </w:tc>
        <w:tc>
          <w:tcPr>
            <w:tcW w:w="2889" w:type="dxa"/>
          </w:tcPr>
          <w:p>
            <w:pPr>
              <w:spacing w:line="260" w:lineRule="exact"/>
              <w:rPr>
                <w:sz w:val="18"/>
                <w:szCs w:val="18"/>
              </w:rPr>
            </w:pPr>
            <w:r>
              <w:rPr>
                <w:sz w:val="18"/>
                <w:szCs w:val="18"/>
              </w:rPr>
              <w:t>２０　　年</w:t>
            </w:r>
            <w:r>
              <w:rPr>
                <w:rFonts w:hint="eastAsia"/>
                <w:sz w:val="18"/>
                <w:szCs w:val="18"/>
              </w:rPr>
              <w:t>　１</w:t>
            </w:r>
            <w:r>
              <w:rPr>
                <w:sz w:val="18"/>
                <w:szCs w:val="18"/>
              </w:rPr>
              <w:t>－　月</w:t>
            </w:r>
          </w:p>
        </w:tc>
        <w:tc>
          <w:tcPr>
            <w:tcW w:w="868" w:type="dxa"/>
            <w:tcMar>
              <w:left w:w="0" w:type="dxa"/>
              <w:right w:w="0" w:type="dxa"/>
            </w:tcMar>
            <w:vAlign w:val="center"/>
          </w:tcPr>
          <w:p>
            <w:pPr>
              <w:spacing w:line="260" w:lineRule="exact"/>
              <w:rPr>
                <w:sz w:val="18"/>
                <w:szCs w:val="18"/>
              </w:rPr>
            </w:pPr>
            <w:r>
              <w:rPr>
                <w:sz w:val="18"/>
                <w:szCs w:val="18"/>
              </w:rPr>
              <w:t>有效期至：</w:t>
            </w:r>
          </w:p>
        </w:tc>
        <w:tc>
          <w:tcPr>
            <w:tcW w:w="1704" w:type="dxa"/>
            <w:vAlign w:val="center"/>
          </w:tcPr>
          <w:p>
            <w:pPr>
              <w:spacing w:line="260" w:lineRule="exact"/>
              <w:jc w:val="distribute"/>
              <w:rPr>
                <w:spacing w:val="-2"/>
                <w:kern w:val="0"/>
                <w:sz w:val="18"/>
                <w:szCs w:val="18"/>
              </w:rPr>
            </w:pPr>
            <w:r>
              <w:rPr>
                <w:spacing w:val="-2"/>
                <w:kern w:val="0"/>
                <w:sz w:val="18"/>
                <w:szCs w:val="18"/>
              </w:rPr>
              <w:t>２０２２年１月</w:t>
            </w:r>
          </w:p>
        </w:tc>
      </w:tr>
    </w:tbl>
    <w:p>
      <w:pPr>
        <w:spacing w:line="20" w:lineRule="exact"/>
        <w:rPr>
          <w:sz w:val="18"/>
          <w:szCs w:val="18"/>
        </w:rPr>
      </w:pPr>
    </w:p>
    <w:tbl>
      <w:tblPr>
        <w:tblStyle w:val="25"/>
        <w:tblW w:w="9412" w:type="dxa"/>
        <w:jc w:val="center"/>
        <w:tblInd w:w="0" w:type="dxa"/>
        <w:tblLayout w:type="fixed"/>
        <w:tblCellMar>
          <w:top w:w="0" w:type="dxa"/>
          <w:left w:w="0" w:type="dxa"/>
          <w:bottom w:w="0" w:type="dxa"/>
          <w:right w:w="0" w:type="dxa"/>
        </w:tblCellMar>
      </w:tblPr>
      <w:tblGrid>
        <w:gridCol w:w="1432"/>
        <w:gridCol w:w="564"/>
        <w:gridCol w:w="563"/>
        <w:gridCol w:w="640"/>
        <w:gridCol w:w="640"/>
        <w:gridCol w:w="553"/>
        <w:gridCol w:w="553"/>
        <w:gridCol w:w="553"/>
        <w:gridCol w:w="553"/>
        <w:gridCol w:w="553"/>
        <w:gridCol w:w="553"/>
        <w:gridCol w:w="553"/>
        <w:gridCol w:w="553"/>
        <w:gridCol w:w="582"/>
        <w:gridCol w:w="567"/>
      </w:tblGrid>
      <w:tr>
        <w:tblPrEx>
          <w:tblLayout w:type="fixed"/>
          <w:tblCellMar>
            <w:top w:w="0" w:type="dxa"/>
            <w:left w:w="0" w:type="dxa"/>
            <w:bottom w:w="0" w:type="dxa"/>
            <w:right w:w="0" w:type="dxa"/>
          </w:tblCellMar>
        </w:tblPrEx>
        <w:trPr>
          <w:cantSplit/>
          <w:trHeight w:val="283" w:hRule="atLeast"/>
          <w:jc w:val="center"/>
        </w:trPr>
        <w:tc>
          <w:tcPr>
            <w:tcW w:w="1432" w:type="dxa"/>
            <w:vMerge w:val="restart"/>
            <w:tcBorders>
              <w:top w:val="single" w:color="auto" w:sz="8" w:space="0"/>
              <w:left w:val="nil"/>
              <w:bottom w:val="single" w:color="auto" w:sz="2" w:space="0"/>
              <w:right w:val="single" w:color="auto" w:sz="2" w:space="0"/>
            </w:tcBorders>
            <w:vAlign w:val="center"/>
          </w:tcPr>
          <w:p>
            <w:pPr>
              <w:widowControl/>
              <w:adjustRightInd w:val="0"/>
              <w:jc w:val="center"/>
              <w:rPr>
                <w:sz w:val="18"/>
                <w:szCs w:val="18"/>
              </w:rPr>
            </w:pPr>
            <w:r>
              <w:rPr>
                <w:sz w:val="18"/>
                <w:szCs w:val="18"/>
              </w:rPr>
              <w:t>能源名称</w:t>
            </w:r>
          </w:p>
        </w:tc>
        <w:tc>
          <w:tcPr>
            <w:tcW w:w="564" w:type="dxa"/>
            <w:vMerge w:val="restart"/>
            <w:tcBorders>
              <w:top w:val="single" w:color="auto" w:sz="8" w:space="0"/>
              <w:left w:val="single" w:color="auto" w:sz="2" w:space="0"/>
              <w:bottom w:val="single" w:color="auto" w:sz="2" w:space="0"/>
              <w:right w:val="single" w:color="auto" w:sz="2" w:space="0"/>
            </w:tcBorders>
            <w:vAlign w:val="center"/>
          </w:tcPr>
          <w:p>
            <w:pPr>
              <w:adjustRightInd w:val="0"/>
              <w:jc w:val="center"/>
              <w:rPr>
                <w:sz w:val="18"/>
                <w:szCs w:val="18"/>
              </w:rPr>
            </w:pPr>
            <w:r>
              <w:rPr>
                <w:sz w:val="18"/>
                <w:szCs w:val="18"/>
              </w:rPr>
              <w:t>计量  单位</w:t>
            </w:r>
          </w:p>
        </w:tc>
        <w:tc>
          <w:tcPr>
            <w:tcW w:w="563" w:type="dxa"/>
            <w:vMerge w:val="restart"/>
            <w:tcBorders>
              <w:top w:val="single" w:color="auto" w:sz="8" w:space="0"/>
              <w:left w:val="single" w:color="auto" w:sz="2" w:space="0"/>
              <w:bottom w:val="single" w:color="auto" w:sz="2" w:space="0"/>
              <w:right w:val="single" w:color="auto" w:sz="2" w:space="0"/>
            </w:tcBorders>
            <w:vAlign w:val="center"/>
          </w:tcPr>
          <w:p>
            <w:pPr>
              <w:widowControl/>
              <w:adjustRightInd w:val="0"/>
              <w:jc w:val="center"/>
              <w:rPr>
                <w:sz w:val="18"/>
                <w:szCs w:val="18"/>
              </w:rPr>
            </w:pPr>
            <w:r>
              <w:rPr>
                <w:sz w:val="18"/>
                <w:szCs w:val="18"/>
              </w:rPr>
              <w:t>代码</w:t>
            </w:r>
          </w:p>
        </w:tc>
        <w:tc>
          <w:tcPr>
            <w:tcW w:w="640" w:type="dxa"/>
            <w:vMerge w:val="restart"/>
            <w:tcBorders>
              <w:top w:val="single" w:color="auto" w:sz="8" w:space="0"/>
              <w:left w:val="single" w:color="auto" w:sz="2" w:space="0"/>
              <w:bottom w:val="single" w:color="auto" w:sz="2" w:space="0"/>
            </w:tcBorders>
            <w:vAlign w:val="center"/>
          </w:tcPr>
          <w:p>
            <w:pPr>
              <w:adjustRightInd w:val="0"/>
              <w:jc w:val="center"/>
              <w:rPr>
                <w:sz w:val="18"/>
                <w:szCs w:val="18"/>
              </w:rPr>
            </w:pPr>
            <w:r>
              <w:rPr>
                <w:sz w:val="18"/>
                <w:szCs w:val="18"/>
              </w:rPr>
              <w:t>工  业      生  产  消费量</w:t>
            </w:r>
          </w:p>
        </w:tc>
        <w:tc>
          <w:tcPr>
            <w:tcW w:w="5064" w:type="dxa"/>
            <w:gridSpan w:val="9"/>
            <w:tcBorders>
              <w:top w:val="single" w:color="auto" w:sz="8" w:space="0"/>
              <w:bottom w:val="single" w:color="auto" w:sz="2" w:space="0"/>
              <w:right w:val="single" w:color="auto" w:sz="2" w:space="0"/>
            </w:tcBorders>
            <w:vAlign w:val="center"/>
          </w:tcPr>
          <w:p>
            <w:pPr>
              <w:adjustRightInd w:val="0"/>
              <w:jc w:val="center"/>
              <w:rPr>
                <w:sz w:val="18"/>
                <w:szCs w:val="18"/>
              </w:rPr>
            </w:pPr>
          </w:p>
        </w:tc>
        <w:tc>
          <w:tcPr>
            <w:tcW w:w="582" w:type="dxa"/>
            <w:vMerge w:val="restart"/>
            <w:tcBorders>
              <w:top w:val="single" w:color="auto" w:sz="8" w:space="0"/>
              <w:left w:val="single" w:color="auto" w:sz="2" w:space="0"/>
              <w:bottom w:val="single" w:color="auto" w:sz="2" w:space="0"/>
              <w:right w:val="single" w:color="auto" w:sz="2" w:space="0"/>
            </w:tcBorders>
            <w:vAlign w:val="center"/>
          </w:tcPr>
          <w:p>
            <w:pPr>
              <w:adjustRightInd w:val="0"/>
              <w:jc w:val="center"/>
              <w:rPr>
                <w:sz w:val="18"/>
                <w:szCs w:val="18"/>
              </w:rPr>
            </w:pPr>
            <w:r>
              <w:rPr>
                <w:sz w:val="18"/>
                <w:szCs w:val="18"/>
              </w:rPr>
              <w:t>能源加工转换产  出</w:t>
            </w:r>
          </w:p>
        </w:tc>
        <w:tc>
          <w:tcPr>
            <w:tcW w:w="567" w:type="dxa"/>
            <w:vMerge w:val="restart"/>
            <w:tcBorders>
              <w:top w:val="single" w:color="auto" w:sz="8" w:space="0"/>
              <w:left w:val="single" w:color="auto" w:sz="2" w:space="0"/>
              <w:bottom w:val="single" w:color="auto" w:sz="2" w:space="0"/>
              <w:right w:val="nil"/>
            </w:tcBorders>
            <w:vAlign w:val="center"/>
          </w:tcPr>
          <w:p>
            <w:pPr>
              <w:adjustRightInd w:val="0"/>
              <w:jc w:val="center"/>
              <w:rPr>
                <w:sz w:val="18"/>
                <w:szCs w:val="18"/>
              </w:rPr>
            </w:pPr>
            <w:r>
              <w:rPr>
                <w:sz w:val="18"/>
                <w:szCs w:val="18"/>
              </w:rPr>
              <w:t>回收</w:t>
            </w:r>
          </w:p>
          <w:p>
            <w:pPr>
              <w:adjustRightInd w:val="0"/>
              <w:jc w:val="center"/>
              <w:rPr>
                <w:sz w:val="18"/>
                <w:szCs w:val="18"/>
              </w:rPr>
            </w:pPr>
            <w:r>
              <w:rPr>
                <w:sz w:val="18"/>
                <w:szCs w:val="18"/>
              </w:rPr>
              <w:t>利用</w:t>
            </w:r>
          </w:p>
        </w:tc>
      </w:tr>
      <w:tr>
        <w:tblPrEx>
          <w:tblLayout w:type="fixed"/>
          <w:tblCellMar>
            <w:top w:w="0" w:type="dxa"/>
            <w:left w:w="0" w:type="dxa"/>
            <w:bottom w:w="0" w:type="dxa"/>
            <w:right w:w="0" w:type="dxa"/>
          </w:tblCellMar>
        </w:tblPrEx>
        <w:trPr>
          <w:cantSplit/>
          <w:trHeight w:val="283" w:hRule="atLeast"/>
          <w:jc w:val="center"/>
        </w:trPr>
        <w:tc>
          <w:tcPr>
            <w:tcW w:w="1432" w:type="dxa"/>
            <w:vMerge w:val="continue"/>
            <w:tcBorders>
              <w:top w:val="single" w:color="auto" w:sz="2" w:space="0"/>
              <w:left w:val="nil"/>
              <w:bottom w:val="single" w:color="auto" w:sz="2" w:space="0"/>
              <w:right w:val="single" w:color="auto" w:sz="2" w:space="0"/>
            </w:tcBorders>
            <w:vAlign w:val="center"/>
          </w:tcPr>
          <w:p>
            <w:pPr>
              <w:widowControl/>
              <w:jc w:val="left"/>
              <w:rPr>
                <w:sz w:val="18"/>
                <w:szCs w:val="18"/>
              </w:rPr>
            </w:pPr>
          </w:p>
        </w:tc>
        <w:tc>
          <w:tcPr>
            <w:tcW w:w="56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szCs w:val="18"/>
              </w:rPr>
            </w:pPr>
          </w:p>
        </w:tc>
        <w:tc>
          <w:tcPr>
            <w:tcW w:w="56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szCs w:val="18"/>
              </w:rPr>
            </w:pPr>
          </w:p>
        </w:tc>
        <w:tc>
          <w:tcPr>
            <w:tcW w:w="64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szCs w:val="18"/>
              </w:rPr>
            </w:pPr>
          </w:p>
        </w:tc>
        <w:tc>
          <w:tcPr>
            <w:tcW w:w="640" w:type="dxa"/>
            <w:vMerge w:val="restart"/>
            <w:tcBorders>
              <w:top w:val="single" w:color="auto" w:sz="2" w:space="0"/>
              <w:left w:val="single" w:color="auto" w:sz="2" w:space="0"/>
              <w:bottom w:val="single" w:color="auto" w:sz="2" w:space="0"/>
            </w:tcBorders>
            <w:vAlign w:val="center"/>
          </w:tcPr>
          <w:p>
            <w:pPr>
              <w:widowControl/>
              <w:adjustRightInd w:val="0"/>
              <w:jc w:val="center"/>
              <w:rPr>
                <w:spacing w:val="-10"/>
                <w:sz w:val="18"/>
                <w:szCs w:val="18"/>
              </w:rPr>
            </w:pPr>
            <w:r>
              <w:rPr>
                <w:spacing w:val="-10"/>
                <w:sz w:val="18"/>
                <w:szCs w:val="18"/>
              </w:rPr>
              <w:t>加工转  换投入  合  计</w:t>
            </w:r>
          </w:p>
        </w:tc>
        <w:tc>
          <w:tcPr>
            <w:tcW w:w="4424" w:type="dxa"/>
            <w:gridSpan w:val="8"/>
            <w:tcBorders>
              <w:top w:val="single" w:color="auto" w:sz="2" w:space="0"/>
              <w:bottom w:val="single" w:color="auto" w:sz="2" w:space="0"/>
              <w:right w:val="single" w:color="auto" w:sz="2" w:space="0"/>
            </w:tcBorders>
            <w:vAlign w:val="center"/>
          </w:tcPr>
          <w:p>
            <w:pPr>
              <w:adjustRightInd w:val="0"/>
              <w:jc w:val="center"/>
              <w:rPr>
                <w:spacing w:val="-10"/>
                <w:sz w:val="18"/>
                <w:szCs w:val="18"/>
              </w:rPr>
            </w:pPr>
          </w:p>
        </w:tc>
        <w:tc>
          <w:tcPr>
            <w:tcW w:w="58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szCs w:val="18"/>
              </w:rPr>
            </w:pPr>
          </w:p>
        </w:tc>
        <w:tc>
          <w:tcPr>
            <w:tcW w:w="567" w:type="dxa"/>
            <w:vMerge w:val="continue"/>
            <w:tcBorders>
              <w:top w:val="single" w:color="auto" w:sz="2" w:space="0"/>
              <w:left w:val="single" w:color="auto" w:sz="2" w:space="0"/>
              <w:bottom w:val="single" w:color="auto" w:sz="2" w:space="0"/>
              <w:right w:val="nil"/>
            </w:tcBorders>
            <w:vAlign w:val="center"/>
          </w:tcPr>
          <w:p>
            <w:pPr>
              <w:widowControl/>
              <w:jc w:val="left"/>
              <w:rPr>
                <w:sz w:val="18"/>
                <w:szCs w:val="18"/>
              </w:rPr>
            </w:pPr>
          </w:p>
        </w:tc>
      </w:tr>
      <w:tr>
        <w:tblPrEx>
          <w:tblLayout w:type="fixed"/>
          <w:tblCellMar>
            <w:top w:w="0" w:type="dxa"/>
            <w:left w:w="0" w:type="dxa"/>
            <w:bottom w:w="0" w:type="dxa"/>
            <w:right w:w="0" w:type="dxa"/>
          </w:tblCellMar>
        </w:tblPrEx>
        <w:trPr>
          <w:cantSplit/>
          <w:trHeight w:val="851" w:hRule="atLeast"/>
          <w:jc w:val="center"/>
        </w:trPr>
        <w:tc>
          <w:tcPr>
            <w:tcW w:w="1432" w:type="dxa"/>
            <w:vMerge w:val="continue"/>
            <w:tcBorders>
              <w:top w:val="single" w:color="auto" w:sz="2" w:space="0"/>
              <w:left w:val="nil"/>
              <w:bottom w:val="single" w:color="auto" w:sz="2" w:space="0"/>
              <w:right w:val="single" w:color="auto" w:sz="2" w:space="0"/>
            </w:tcBorders>
            <w:vAlign w:val="center"/>
          </w:tcPr>
          <w:p>
            <w:pPr>
              <w:widowControl/>
              <w:jc w:val="left"/>
              <w:rPr>
                <w:sz w:val="18"/>
                <w:szCs w:val="18"/>
              </w:rPr>
            </w:pPr>
          </w:p>
        </w:tc>
        <w:tc>
          <w:tcPr>
            <w:tcW w:w="56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szCs w:val="18"/>
              </w:rPr>
            </w:pPr>
          </w:p>
        </w:tc>
        <w:tc>
          <w:tcPr>
            <w:tcW w:w="56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szCs w:val="18"/>
              </w:rPr>
            </w:pPr>
          </w:p>
        </w:tc>
        <w:tc>
          <w:tcPr>
            <w:tcW w:w="64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szCs w:val="18"/>
              </w:rPr>
            </w:pPr>
          </w:p>
        </w:tc>
        <w:tc>
          <w:tcPr>
            <w:tcW w:w="64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pacing w:val="-10"/>
                <w:sz w:val="18"/>
                <w:szCs w:val="18"/>
              </w:rPr>
            </w:pPr>
          </w:p>
        </w:tc>
        <w:tc>
          <w:tcPr>
            <w:tcW w:w="553" w:type="dxa"/>
            <w:tcBorders>
              <w:top w:val="single" w:color="auto" w:sz="2" w:space="0"/>
              <w:left w:val="single" w:color="auto" w:sz="2" w:space="0"/>
              <w:bottom w:val="single" w:color="auto" w:sz="2" w:space="0"/>
              <w:right w:val="single" w:color="auto" w:sz="2" w:space="0"/>
            </w:tcBorders>
            <w:vAlign w:val="center"/>
          </w:tcPr>
          <w:p>
            <w:pPr>
              <w:widowControl/>
              <w:adjustRightInd w:val="0"/>
              <w:jc w:val="center"/>
              <w:rPr>
                <w:spacing w:val="-10"/>
                <w:sz w:val="18"/>
                <w:szCs w:val="18"/>
              </w:rPr>
            </w:pPr>
            <w:r>
              <w:rPr>
                <w:spacing w:val="-10"/>
                <w:sz w:val="18"/>
                <w:szCs w:val="18"/>
              </w:rPr>
              <w:t>火力   发电</w:t>
            </w:r>
          </w:p>
        </w:tc>
        <w:tc>
          <w:tcPr>
            <w:tcW w:w="553" w:type="dxa"/>
            <w:tcBorders>
              <w:top w:val="single" w:color="auto" w:sz="2" w:space="0"/>
              <w:left w:val="single" w:color="auto" w:sz="2" w:space="0"/>
              <w:bottom w:val="single" w:color="auto" w:sz="2" w:space="0"/>
              <w:right w:val="single" w:color="auto" w:sz="2" w:space="0"/>
            </w:tcBorders>
            <w:vAlign w:val="center"/>
          </w:tcPr>
          <w:p>
            <w:pPr>
              <w:adjustRightInd w:val="0"/>
              <w:jc w:val="center"/>
              <w:rPr>
                <w:spacing w:val="-10"/>
                <w:sz w:val="18"/>
                <w:szCs w:val="18"/>
              </w:rPr>
            </w:pPr>
            <w:r>
              <w:rPr>
                <w:spacing w:val="-10"/>
                <w:sz w:val="18"/>
                <w:szCs w:val="18"/>
              </w:rPr>
              <w:t>供热</w:t>
            </w:r>
          </w:p>
        </w:tc>
        <w:tc>
          <w:tcPr>
            <w:tcW w:w="553" w:type="dxa"/>
            <w:tcBorders>
              <w:top w:val="single" w:color="auto" w:sz="2" w:space="0"/>
              <w:left w:val="single" w:color="auto" w:sz="2" w:space="0"/>
              <w:bottom w:val="single" w:color="auto" w:sz="2" w:space="0"/>
              <w:right w:val="single" w:color="auto" w:sz="2" w:space="0"/>
            </w:tcBorders>
            <w:vAlign w:val="center"/>
          </w:tcPr>
          <w:p>
            <w:pPr>
              <w:adjustRightInd w:val="0"/>
              <w:jc w:val="center"/>
              <w:rPr>
                <w:spacing w:val="-10"/>
                <w:sz w:val="18"/>
                <w:szCs w:val="18"/>
              </w:rPr>
            </w:pPr>
            <w:r>
              <w:rPr>
                <w:spacing w:val="-10"/>
                <w:sz w:val="18"/>
                <w:szCs w:val="18"/>
              </w:rPr>
              <w:t>原煤   入洗</w:t>
            </w:r>
          </w:p>
        </w:tc>
        <w:tc>
          <w:tcPr>
            <w:tcW w:w="553" w:type="dxa"/>
            <w:tcBorders>
              <w:top w:val="single" w:color="auto" w:sz="2" w:space="0"/>
              <w:left w:val="single" w:color="auto" w:sz="2" w:space="0"/>
              <w:bottom w:val="single" w:color="auto" w:sz="2" w:space="0"/>
              <w:right w:val="single" w:color="auto" w:sz="2" w:space="0"/>
            </w:tcBorders>
            <w:vAlign w:val="center"/>
          </w:tcPr>
          <w:p>
            <w:pPr>
              <w:adjustRightInd w:val="0"/>
              <w:jc w:val="center"/>
              <w:rPr>
                <w:spacing w:val="-10"/>
                <w:sz w:val="18"/>
                <w:szCs w:val="18"/>
              </w:rPr>
            </w:pPr>
            <w:r>
              <w:rPr>
                <w:spacing w:val="-10"/>
                <w:sz w:val="18"/>
                <w:szCs w:val="18"/>
              </w:rPr>
              <w:t>炼焦</w:t>
            </w:r>
          </w:p>
        </w:tc>
        <w:tc>
          <w:tcPr>
            <w:tcW w:w="553" w:type="dxa"/>
            <w:tcBorders>
              <w:top w:val="single" w:color="auto" w:sz="2" w:space="0"/>
              <w:left w:val="single" w:color="auto" w:sz="2" w:space="0"/>
              <w:bottom w:val="single" w:color="auto" w:sz="2" w:space="0"/>
              <w:right w:val="single" w:color="auto" w:sz="2" w:space="0"/>
            </w:tcBorders>
            <w:vAlign w:val="center"/>
          </w:tcPr>
          <w:p>
            <w:pPr>
              <w:adjustRightInd w:val="0"/>
              <w:jc w:val="center"/>
              <w:rPr>
                <w:spacing w:val="-10"/>
                <w:sz w:val="18"/>
                <w:szCs w:val="18"/>
              </w:rPr>
            </w:pPr>
            <w:r>
              <w:rPr>
                <w:spacing w:val="-10"/>
                <w:sz w:val="18"/>
                <w:szCs w:val="18"/>
              </w:rPr>
              <w:t>炼油及</w:t>
            </w:r>
          </w:p>
          <w:p>
            <w:pPr>
              <w:adjustRightInd w:val="0"/>
              <w:jc w:val="center"/>
              <w:rPr>
                <w:spacing w:val="-10"/>
                <w:sz w:val="18"/>
                <w:szCs w:val="18"/>
              </w:rPr>
            </w:pPr>
            <w:r>
              <w:rPr>
                <w:spacing w:val="-10"/>
                <w:sz w:val="18"/>
                <w:szCs w:val="18"/>
              </w:rPr>
              <w:t>煤制油</w:t>
            </w:r>
          </w:p>
        </w:tc>
        <w:tc>
          <w:tcPr>
            <w:tcW w:w="553" w:type="dxa"/>
            <w:tcBorders>
              <w:top w:val="single" w:color="auto" w:sz="2" w:space="0"/>
              <w:left w:val="single" w:color="auto" w:sz="2" w:space="0"/>
              <w:bottom w:val="single" w:color="auto" w:sz="2" w:space="0"/>
              <w:right w:val="single" w:color="auto" w:sz="2" w:space="0"/>
            </w:tcBorders>
            <w:vAlign w:val="center"/>
          </w:tcPr>
          <w:p>
            <w:pPr>
              <w:adjustRightInd w:val="0"/>
              <w:jc w:val="center"/>
              <w:rPr>
                <w:spacing w:val="-10"/>
                <w:sz w:val="18"/>
                <w:szCs w:val="18"/>
              </w:rPr>
            </w:pPr>
            <w:r>
              <w:rPr>
                <w:spacing w:val="-10"/>
                <w:sz w:val="18"/>
                <w:szCs w:val="18"/>
              </w:rPr>
              <w:t>制气</w:t>
            </w:r>
          </w:p>
        </w:tc>
        <w:tc>
          <w:tcPr>
            <w:tcW w:w="553" w:type="dxa"/>
            <w:tcBorders>
              <w:top w:val="single" w:color="auto" w:sz="2" w:space="0"/>
              <w:left w:val="single" w:color="auto" w:sz="2" w:space="0"/>
              <w:bottom w:val="single" w:color="auto" w:sz="2" w:space="0"/>
              <w:right w:val="single" w:color="auto" w:sz="2" w:space="0"/>
            </w:tcBorders>
            <w:vAlign w:val="center"/>
          </w:tcPr>
          <w:p>
            <w:pPr>
              <w:adjustRightInd w:val="0"/>
              <w:jc w:val="center"/>
              <w:rPr>
                <w:spacing w:val="-10"/>
                <w:sz w:val="18"/>
                <w:szCs w:val="18"/>
              </w:rPr>
            </w:pPr>
            <w:r>
              <w:rPr>
                <w:sz w:val="18"/>
                <w:szCs w:val="18"/>
              </w:rPr>
              <w:t>天然气</w:t>
            </w:r>
            <w:r>
              <w:rPr>
                <w:spacing w:val="-10"/>
                <w:sz w:val="18"/>
                <w:szCs w:val="18"/>
              </w:rPr>
              <w:t>液   化</w:t>
            </w:r>
          </w:p>
        </w:tc>
        <w:tc>
          <w:tcPr>
            <w:tcW w:w="553" w:type="dxa"/>
            <w:tcBorders>
              <w:top w:val="single" w:color="auto" w:sz="2" w:space="0"/>
              <w:left w:val="single" w:color="auto" w:sz="2" w:space="0"/>
              <w:bottom w:val="single" w:color="auto" w:sz="2" w:space="0"/>
              <w:right w:val="single" w:color="auto" w:sz="2" w:space="0"/>
            </w:tcBorders>
            <w:vAlign w:val="center"/>
          </w:tcPr>
          <w:p>
            <w:pPr>
              <w:adjustRightInd w:val="0"/>
              <w:jc w:val="center"/>
              <w:rPr>
                <w:spacing w:val="-10"/>
                <w:sz w:val="18"/>
                <w:szCs w:val="18"/>
              </w:rPr>
            </w:pPr>
          </w:p>
          <w:p>
            <w:pPr>
              <w:adjustRightInd w:val="0"/>
              <w:jc w:val="center"/>
              <w:rPr>
                <w:spacing w:val="-10"/>
                <w:sz w:val="18"/>
                <w:szCs w:val="18"/>
              </w:rPr>
            </w:pPr>
            <w:r>
              <w:rPr>
                <w:spacing w:val="-10"/>
                <w:sz w:val="18"/>
                <w:szCs w:val="18"/>
              </w:rPr>
              <w:t>煤制品加  工</w:t>
            </w:r>
          </w:p>
          <w:p>
            <w:pPr>
              <w:adjustRightInd w:val="0"/>
              <w:jc w:val="center"/>
              <w:rPr>
                <w:spacing w:val="-10"/>
                <w:sz w:val="18"/>
                <w:szCs w:val="18"/>
              </w:rPr>
            </w:pPr>
          </w:p>
        </w:tc>
        <w:tc>
          <w:tcPr>
            <w:tcW w:w="58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szCs w:val="18"/>
              </w:rPr>
            </w:pPr>
          </w:p>
        </w:tc>
        <w:tc>
          <w:tcPr>
            <w:tcW w:w="567" w:type="dxa"/>
            <w:vMerge w:val="continue"/>
            <w:tcBorders>
              <w:top w:val="single" w:color="auto" w:sz="2" w:space="0"/>
              <w:left w:val="single" w:color="auto" w:sz="2" w:space="0"/>
              <w:bottom w:val="single" w:color="auto" w:sz="2" w:space="0"/>
              <w:right w:val="nil"/>
            </w:tcBorders>
            <w:vAlign w:val="center"/>
          </w:tcPr>
          <w:p>
            <w:pPr>
              <w:widowControl/>
              <w:jc w:val="left"/>
              <w:rPr>
                <w:sz w:val="18"/>
                <w:szCs w:val="18"/>
              </w:rPr>
            </w:pPr>
          </w:p>
        </w:tc>
      </w:tr>
      <w:tr>
        <w:tblPrEx>
          <w:tblLayout w:type="fixed"/>
          <w:tblCellMar>
            <w:top w:w="0" w:type="dxa"/>
            <w:left w:w="0" w:type="dxa"/>
            <w:bottom w:w="0" w:type="dxa"/>
            <w:right w:w="0" w:type="dxa"/>
          </w:tblCellMar>
        </w:tblPrEx>
        <w:trPr>
          <w:trHeight w:val="306" w:hRule="atLeast"/>
          <w:jc w:val="center"/>
        </w:trPr>
        <w:tc>
          <w:tcPr>
            <w:tcW w:w="1432" w:type="dxa"/>
            <w:tcBorders>
              <w:top w:val="single" w:color="auto" w:sz="2" w:space="0"/>
              <w:left w:val="nil"/>
              <w:bottom w:val="single" w:color="auto" w:sz="2" w:space="0"/>
              <w:right w:val="single" w:color="auto" w:sz="2" w:space="0"/>
            </w:tcBorders>
            <w:vAlign w:val="center"/>
          </w:tcPr>
          <w:p>
            <w:pPr>
              <w:widowControl/>
              <w:adjustRightInd w:val="0"/>
              <w:spacing w:line="240" w:lineRule="exact"/>
              <w:jc w:val="center"/>
              <w:textAlignment w:val="center"/>
              <w:rPr>
                <w:sz w:val="18"/>
                <w:szCs w:val="18"/>
              </w:rPr>
            </w:pPr>
            <w:r>
              <w:rPr>
                <w:sz w:val="18"/>
                <w:szCs w:val="18"/>
              </w:rPr>
              <w:t>甲</w:t>
            </w:r>
          </w:p>
        </w:tc>
        <w:tc>
          <w:tcPr>
            <w:tcW w:w="564"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sz w:val="18"/>
                <w:szCs w:val="18"/>
              </w:rPr>
            </w:pPr>
            <w:r>
              <w:rPr>
                <w:sz w:val="18"/>
                <w:szCs w:val="18"/>
              </w:rPr>
              <w:t>乙</w:t>
            </w:r>
          </w:p>
        </w:tc>
        <w:tc>
          <w:tcPr>
            <w:tcW w:w="56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sz w:val="18"/>
                <w:szCs w:val="18"/>
              </w:rPr>
            </w:pPr>
            <w:r>
              <w:rPr>
                <w:sz w:val="18"/>
                <w:szCs w:val="18"/>
              </w:rPr>
              <w:t>丙</w:t>
            </w:r>
          </w:p>
        </w:tc>
        <w:tc>
          <w:tcPr>
            <w:tcW w:w="640"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1</w:t>
            </w:r>
          </w:p>
        </w:tc>
        <w:tc>
          <w:tcPr>
            <w:tcW w:w="640"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2</w:t>
            </w:r>
          </w:p>
        </w:tc>
        <w:tc>
          <w:tcPr>
            <w:tcW w:w="55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3</w:t>
            </w:r>
          </w:p>
        </w:tc>
        <w:tc>
          <w:tcPr>
            <w:tcW w:w="55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4</w:t>
            </w:r>
          </w:p>
        </w:tc>
        <w:tc>
          <w:tcPr>
            <w:tcW w:w="55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5</w:t>
            </w:r>
          </w:p>
        </w:tc>
        <w:tc>
          <w:tcPr>
            <w:tcW w:w="55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6</w:t>
            </w:r>
          </w:p>
        </w:tc>
        <w:tc>
          <w:tcPr>
            <w:tcW w:w="55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7</w:t>
            </w:r>
          </w:p>
        </w:tc>
        <w:tc>
          <w:tcPr>
            <w:tcW w:w="55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8</w:t>
            </w:r>
          </w:p>
        </w:tc>
        <w:tc>
          <w:tcPr>
            <w:tcW w:w="55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9</w:t>
            </w:r>
          </w:p>
        </w:tc>
        <w:tc>
          <w:tcPr>
            <w:tcW w:w="553"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10</w:t>
            </w:r>
          </w:p>
        </w:tc>
        <w:tc>
          <w:tcPr>
            <w:tcW w:w="582" w:type="dxa"/>
            <w:tcBorders>
              <w:top w:val="single" w:color="auto" w:sz="2" w:space="0"/>
              <w:left w:val="single" w:color="auto" w:sz="2" w:space="0"/>
              <w:bottom w:val="single" w:color="auto" w:sz="2" w:space="0"/>
              <w:right w:val="single" w:color="auto" w:sz="2" w:space="0"/>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11</w:t>
            </w:r>
          </w:p>
        </w:tc>
        <w:tc>
          <w:tcPr>
            <w:tcW w:w="567" w:type="dxa"/>
            <w:tcBorders>
              <w:top w:val="single" w:color="auto" w:sz="2" w:space="0"/>
              <w:left w:val="single" w:color="auto" w:sz="2" w:space="0"/>
              <w:bottom w:val="single" w:color="auto" w:sz="2" w:space="0"/>
              <w:right w:val="nil"/>
            </w:tcBorders>
            <w:vAlign w:val="center"/>
          </w:tcPr>
          <w:p>
            <w:pPr>
              <w:widowControl/>
              <w:adjustRightInd w:val="0"/>
              <w:spacing w:line="240" w:lineRule="exact"/>
              <w:jc w:val="center"/>
              <w:textAlignment w:val="center"/>
              <w:rPr>
                <w:rFonts w:ascii="宋体" w:hAnsi="宋体" w:cs="宋体"/>
                <w:sz w:val="18"/>
                <w:szCs w:val="18"/>
              </w:rPr>
            </w:pPr>
            <w:r>
              <w:rPr>
                <w:rFonts w:ascii="宋体" w:hAnsi="宋体" w:cs="宋体"/>
                <w:sz w:val="18"/>
                <w:szCs w:val="18"/>
              </w:rPr>
              <w:t>12</w:t>
            </w:r>
          </w:p>
        </w:tc>
      </w:tr>
      <w:tr>
        <w:tblPrEx>
          <w:tblLayout w:type="fixed"/>
          <w:tblCellMar>
            <w:top w:w="0" w:type="dxa"/>
            <w:left w:w="0" w:type="dxa"/>
            <w:bottom w:w="0" w:type="dxa"/>
            <w:right w:w="0" w:type="dxa"/>
          </w:tblCellMar>
        </w:tblPrEx>
        <w:trPr>
          <w:trHeight w:val="1140" w:hRule="atLeast"/>
          <w:jc w:val="center"/>
        </w:trPr>
        <w:tc>
          <w:tcPr>
            <w:tcW w:w="1432" w:type="dxa"/>
            <w:tcBorders>
              <w:top w:val="single" w:color="auto" w:sz="2" w:space="0"/>
              <w:left w:val="nil"/>
              <w:bottom w:val="single" w:color="auto" w:sz="8" w:space="0"/>
              <w:right w:val="single" w:color="auto" w:sz="2" w:space="0"/>
            </w:tcBorders>
            <w:vAlign w:val="center"/>
          </w:tcPr>
          <w:p>
            <w:pPr>
              <w:widowControl/>
              <w:adjustRightInd w:val="0"/>
              <w:jc w:val="center"/>
              <w:rPr>
                <w:sz w:val="18"/>
                <w:szCs w:val="18"/>
              </w:rPr>
            </w:pPr>
          </w:p>
        </w:tc>
        <w:tc>
          <w:tcPr>
            <w:tcW w:w="564" w:type="dxa"/>
            <w:tcBorders>
              <w:top w:val="single" w:color="auto" w:sz="2" w:space="0"/>
              <w:left w:val="single" w:color="auto" w:sz="2" w:space="0"/>
              <w:bottom w:val="single" w:color="auto" w:sz="8" w:space="0"/>
              <w:right w:val="single" w:color="auto" w:sz="2" w:space="0"/>
            </w:tcBorders>
            <w:vAlign w:val="center"/>
          </w:tcPr>
          <w:p>
            <w:pPr>
              <w:widowControl/>
              <w:adjustRightInd w:val="0"/>
              <w:jc w:val="center"/>
              <w:rPr>
                <w:sz w:val="18"/>
                <w:szCs w:val="18"/>
              </w:rPr>
            </w:pPr>
          </w:p>
        </w:tc>
        <w:tc>
          <w:tcPr>
            <w:tcW w:w="563" w:type="dxa"/>
            <w:tcBorders>
              <w:top w:val="single" w:color="auto" w:sz="2" w:space="0"/>
              <w:left w:val="single" w:color="auto" w:sz="2" w:space="0"/>
              <w:bottom w:val="single" w:color="auto" w:sz="8" w:space="0"/>
              <w:right w:val="single" w:color="auto" w:sz="2" w:space="0"/>
            </w:tcBorders>
            <w:vAlign w:val="center"/>
          </w:tcPr>
          <w:p>
            <w:pPr>
              <w:widowControl/>
              <w:adjustRightInd w:val="0"/>
              <w:jc w:val="center"/>
              <w:rPr>
                <w:sz w:val="18"/>
                <w:szCs w:val="18"/>
              </w:rPr>
            </w:pPr>
          </w:p>
        </w:tc>
        <w:tc>
          <w:tcPr>
            <w:tcW w:w="6853" w:type="dxa"/>
            <w:gridSpan w:val="12"/>
            <w:tcBorders>
              <w:top w:val="single" w:color="auto" w:sz="2" w:space="0"/>
              <w:left w:val="single" w:color="auto" w:sz="2" w:space="0"/>
              <w:bottom w:val="single" w:color="auto" w:sz="8" w:space="0"/>
            </w:tcBorders>
            <w:vAlign w:val="center"/>
          </w:tcPr>
          <w:p>
            <w:pPr>
              <w:pStyle w:val="14"/>
              <w:widowControl/>
              <w:pBdr>
                <w:bottom w:val="none" w:color="auto" w:sz="0" w:space="0"/>
              </w:pBdr>
              <w:tabs>
                <w:tab w:val="clear" w:pos="4153"/>
                <w:tab w:val="clear" w:pos="8306"/>
              </w:tabs>
              <w:adjustRightInd w:val="0"/>
              <w:snapToGrid/>
            </w:pPr>
          </w:p>
        </w:tc>
      </w:tr>
    </w:tbl>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adjustRightInd w:val="0"/>
        <w:ind w:left="16" w:leftChars="-50" w:right="-1233" w:rightChars="-587" w:hanging="121" w:hangingChars="58"/>
        <w:rPr>
          <w:szCs w:val="20"/>
        </w:rPr>
      </w:pPr>
      <w:r>
        <w:rPr>
          <w:szCs w:val="20"/>
        </w:rPr>
        <w:t xml:space="preserve"> </w:t>
      </w:r>
    </w:p>
    <w:p>
      <w:pPr>
        <w:tabs>
          <w:tab w:val="left" w:pos="5430"/>
        </w:tabs>
        <w:adjustRightInd w:val="0"/>
        <w:spacing w:line="280" w:lineRule="exact"/>
        <w:ind w:left="1548" w:right="-6" w:rightChars="-3" w:hanging="1548" w:hangingChars="900"/>
        <w:rPr>
          <w:sz w:val="18"/>
          <w:szCs w:val="18"/>
        </w:rPr>
      </w:pPr>
      <w:r>
        <w:rPr>
          <w:bCs/>
          <w:spacing w:val="-4"/>
          <w:sz w:val="18"/>
          <w:szCs w:val="18"/>
        </w:rPr>
        <w:t>说明：</w:t>
      </w:r>
      <w:r>
        <w:rPr>
          <w:rFonts w:ascii="宋体" w:hAnsi="宋体" w:cs="宋体"/>
          <w:bCs/>
          <w:spacing w:val="-4"/>
          <w:sz w:val="18"/>
          <w:szCs w:val="18"/>
        </w:rPr>
        <w:t>1.</w:t>
      </w:r>
      <w:r>
        <w:rPr>
          <w:bCs/>
          <w:sz w:val="18"/>
        </w:rPr>
        <w:t>统计范围：</w:t>
      </w:r>
      <w:r>
        <w:rPr>
          <w:sz w:val="18"/>
          <w:szCs w:val="18"/>
        </w:rPr>
        <w:t>辖区内有能源加工转换或回收利用活动的规模以上工业法人单位。</w:t>
      </w:r>
    </w:p>
    <w:p>
      <w:pPr>
        <w:spacing w:line="280" w:lineRule="exact"/>
        <w:ind w:left="147" w:leftChars="70" w:firstLine="360" w:firstLineChars="200"/>
        <w:rPr>
          <w:rFonts w:ascii="宋体" w:hAnsi="宋体"/>
          <w:sz w:val="18"/>
          <w:szCs w:val="18"/>
        </w:rPr>
      </w:pPr>
      <w:r>
        <w:rPr>
          <w:rFonts w:ascii="宋体" w:hAnsi="宋体" w:cs="宋体"/>
          <w:sz w:val="18"/>
        </w:rPr>
        <w:t>2.</w:t>
      </w:r>
      <w:r>
        <w:rPr>
          <w:sz w:val="18"/>
        </w:rPr>
        <w:t>报送日期及方式：</w:t>
      </w:r>
      <w:r>
        <w:rPr>
          <w:rFonts w:hint="eastAsia" w:ascii="宋体" w:hAnsi="宋体" w:cs="宋体"/>
          <w:sz w:val="18"/>
        </w:rPr>
        <w:t>调查单位</w:t>
      </w:r>
      <w:r>
        <w:rPr>
          <w:rFonts w:hint="eastAsia" w:ascii="宋体" w:hAnsi="宋体"/>
          <w:sz w:val="18"/>
          <w:szCs w:val="18"/>
        </w:rPr>
        <w:t>2、10月月后5日，3、4月月后8日，5、6、8、11、12月月后7日，7月月后6日，</w:t>
      </w:r>
    </w:p>
    <w:p>
      <w:pPr>
        <w:spacing w:line="280" w:lineRule="exact"/>
        <w:ind w:left="147" w:leftChars="70" w:firstLine="1980" w:firstLineChars="1100"/>
        <w:rPr>
          <w:rFonts w:ascii="宋体" w:hAnsi="宋体"/>
          <w:sz w:val="18"/>
          <w:szCs w:val="18"/>
        </w:rPr>
      </w:pPr>
      <w:r>
        <w:rPr>
          <w:rFonts w:hint="eastAsia" w:ascii="宋体" w:hAnsi="宋体"/>
          <w:sz w:val="18"/>
          <w:szCs w:val="18"/>
        </w:rPr>
        <w:t>9月月后9日12:00前</w:t>
      </w:r>
      <w:r>
        <w:rPr>
          <w:rFonts w:hint="eastAsia" w:ascii="宋体" w:hAnsi="宋体" w:cs="宋体"/>
          <w:sz w:val="18"/>
        </w:rPr>
        <w:t>独立自行网上填报，1月免报；市级统计机构</w:t>
      </w:r>
      <w:r>
        <w:rPr>
          <w:rFonts w:hint="eastAsia" w:ascii="宋体" w:hAnsi="宋体"/>
          <w:sz w:val="18"/>
          <w:szCs w:val="18"/>
        </w:rPr>
        <w:t>2、5、6、7、8、10、11</w:t>
      </w:r>
    </w:p>
    <w:p>
      <w:pPr>
        <w:spacing w:line="280" w:lineRule="exact"/>
        <w:ind w:left="136" w:leftChars="65" w:firstLine="1980" w:firstLineChars="1100"/>
        <w:rPr>
          <w:rFonts w:ascii="宋体" w:hAnsi="宋体" w:cs="宋体"/>
          <w:sz w:val="18"/>
          <w:szCs w:val="18"/>
        </w:rPr>
      </w:pPr>
      <w:r>
        <w:rPr>
          <w:rFonts w:hint="eastAsia" w:ascii="宋体" w:hAnsi="宋体"/>
          <w:sz w:val="18"/>
          <w:szCs w:val="18"/>
        </w:rPr>
        <w:t>月月后9日，3、4、12月月后10日，9月月后12日12:00</w:t>
      </w:r>
      <w:r>
        <w:rPr>
          <w:rFonts w:hint="eastAsia" w:ascii="宋体" w:hAnsi="宋体" w:cs="宋体"/>
          <w:sz w:val="18"/>
        </w:rPr>
        <w:t>前完成数据审核、验收、上报。</w:t>
      </w:r>
    </w:p>
    <w:p>
      <w:pPr>
        <w:spacing w:line="280" w:lineRule="exact"/>
        <w:ind w:left="2124" w:leftChars="245" w:hanging="1610" w:hangingChars="895"/>
        <w:rPr>
          <w:sz w:val="18"/>
          <w:szCs w:val="18"/>
        </w:rPr>
      </w:pPr>
      <w:r>
        <w:rPr>
          <w:rFonts w:ascii="宋体" w:hAnsi="宋体" w:cs="宋体"/>
          <w:sz w:val="18"/>
          <w:szCs w:val="18"/>
        </w:rPr>
        <w:t>3.</w:t>
      </w:r>
      <w:r>
        <w:rPr>
          <w:sz w:val="18"/>
          <w:szCs w:val="18"/>
        </w:rPr>
        <w:t>本表甲栏下按</w:t>
      </w:r>
      <w:r>
        <w:rPr>
          <w:bCs/>
          <w:sz w:val="18"/>
        </w:rPr>
        <w:t>《</w:t>
      </w:r>
      <w:r>
        <w:rPr>
          <w:rFonts w:hint="eastAsia"/>
          <w:bCs/>
          <w:sz w:val="18"/>
        </w:rPr>
        <w:t>能源购进、消费与库存和能源加工转换与回收利用目录</w:t>
      </w:r>
      <w:r>
        <w:rPr>
          <w:bCs/>
          <w:spacing w:val="8"/>
          <w:sz w:val="18"/>
          <w:szCs w:val="18"/>
        </w:rPr>
        <w:t>》</w:t>
      </w:r>
      <w:r>
        <w:rPr>
          <w:sz w:val="18"/>
          <w:szCs w:val="18"/>
        </w:rPr>
        <w:t>填报。</w:t>
      </w:r>
    </w:p>
    <w:p>
      <w:pPr>
        <w:spacing w:line="280" w:lineRule="exact"/>
        <w:ind w:left="514" w:leftChars="245"/>
        <w:rPr>
          <w:sz w:val="18"/>
          <w:szCs w:val="18"/>
        </w:rPr>
      </w:pPr>
      <w:r>
        <w:rPr>
          <w:rFonts w:ascii="宋体" w:hAnsi="宋体" w:cs="宋体"/>
          <w:sz w:val="18"/>
          <w:szCs w:val="18"/>
        </w:rPr>
        <w:t>4.</w:t>
      </w:r>
      <w:r>
        <w:rPr>
          <w:sz w:val="18"/>
          <w:szCs w:val="18"/>
        </w:rPr>
        <w:t>审核关系：</w:t>
      </w:r>
    </w:p>
    <w:p>
      <w:pPr>
        <w:spacing w:line="280" w:lineRule="exact"/>
        <w:ind w:left="2629" w:leftChars="310" w:hanging="1978" w:hangingChars="1099"/>
        <w:rPr>
          <w:sz w:val="18"/>
          <w:szCs w:val="18"/>
        </w:rPr>
      </w:pPr>
      <w:r>
        <w:rPr>
          <w:rFonts w:ascii="宋体" w:hAnsi="宋体" w:cs="宋体"/>
          <w:sz w:val="18"/>
          <w:szCs w:val="18"/>
        </w:rPr>
        <w:t>(1)</w:t>
      </w:r>
      <w:r>
        <w:rPr>
          <w:sz w:val="18"/>
          <w:szCs w:val="18"/>
        </w:rPr>
        <w:t>工业生产消费量与</w:t>
      </w:r>
      <w:r>
        <w:rPr>
          <w:rFonts w:ascii="宋体" w:hAnsi="宋体" w:cs="宋体"/>
          <w:sz w:val="18"/>
          <w:szCs w:val="18"/>
        </w:rPr>
        <w:t>205-1</w:t>
      </w:r>
      <w:r>
        <w:rPr>
          <w:sz w:val="18"/>
          <w:szCs w:val="18"/>
        </w:rPr>
        <w:t>表的工业生产消费量数值一致</w:t>
      </w:r>
    </w:p>
    <w:p>
      <w:pPr>
        <w:spacing w:line="280" w:lineRule="exact"/>
        <w:ind w:left="2433" w:leftChars="310" w:hanging="1782" w:hangingChars="990"/>
        <w:rPr>
          <w:sz w:val="18"/>
          <w:szCs w:val="18"/>
        </w:rPr>
      </w:pPr>
      <w:r>
        <w:rPr>
          <w:rFonts w:ascii="宋体" w:hAnsi="宋体" w:cs="宋体"/>
          <w:sz w:val="18"/>
          <w:szCs w:val="18"/>
        </w:rPr>
        <w:t>(2)</w:t>
      </w:r>
      <w:r>
        <w:rPr>
          <w:sz w:val="18"/>
          <w:szCs w:val="18"/>
        </w:rPr>
        <w:t>加工转换投入合计=火力发电投入+供热投入+原煤入洗投入+炼焦投入+炼油及煤制油投入+制气投入+天然气</w:t>
      </w:r>
    </w:p>
    <w:p>
      <w:pPr>
        <w:spacing w:line="280" w:lineRule="exact"/>
        <w:ind w:left="2454" w:leftChars="320" w:hanging="1782" w:hangingChars="990"/>
        <w:rPr>
          <w:sz w:val="18"/>
          <w:szCs w:val="18"/>
        </w:rPr>
      </w:pPr>
      <w:r>
        <w:rPr>
          <w:rFonts w:hint="eastAsia"/>
          <w:sz w:val="18"/>
          <w:szCs w:val="18"/>
        </w:rPr>
        <w:t xml:space="preserve">                    </w:t>
      </w:r>
      <w:r>
        <w:rPr>
          <w:sz w:val="18"/>
          <w:szCs w:val="18"/>
        </w:rPr>
        <w:t>液化投入+煤制品加工投入</w:t>
      </w:r>
    </w:p>
    <w:p>
      <w:pPr>
        <w:spacing w:line="280" w:lineRule="exact"/>
        <w:ind w:left="2433" w:leftChars="310" w:hanging="1782" w:hangingChars="990"/>
        <w:rPr>
          <w:sz w:val="18"/>
          <w:szCs w:val="18"/>
        </w:rPr>
      </w:pPr>
    </w:p>
    <w:p>
      <w:pPr>
        <w:snapToGrid w:val="0"/>
        <w:spacing w:beforeLines="100" w:afterLines="100"/>
        <w:jc w:val="center"/>
        <w:outlineLvl w:val="2"/>
        <w:rPr>
          <w:sz w:val="32"/>
        </w:rPr>
      </w:pPr>
      <w:r>
        <w:rPr>
          <w:sz w:val="18"/>
          <w:szCs w:val="18"/>
        </w:rPr>
        <w:br w:type="page"/>
      </w:r>
      <w:r>
        <w:rPr>
          <w:sz w:val="32"/>
        </w:rPr>
        <w:t>主要耗能工业企业单位产品能源</w:t>
      </w:r>
      <w:r>
        <w:rPr>
          <w:rFonts w:hint="eastAsia"/>
          <w:sz w:val="32"/>
        </w:rPr>
        <w:t>消费</w:t>
      </w:r>
      <w:r>
        <w:rPr>
          <w:sz w:val="32"/>
        </w:rPr>
        <w:t>情况</w:t>
      </w:r>
    </w:p>
    <w:tbl>
      <w:tblPr>
        <w:tblStyle w:val="25"/>
        <w:tblW w:w="9445" w:type="dxa"/>
        <w:jc w:val="center"/>
        <w:tblInd w:w="0" w:type="dxa"/>
        <w:tblLayout w:type="fixed"/>
        <w:tblCellMar>
          <w:top w:w="0" w:type="dxa"/>
          <w:left w:w="0" w:type="dxa"/>
          <w:bottom w:w="0" w:type="dxa"/>
          <w:right w:w="0" w:type="dxa"/>
        </w:tblCellMar>
      </w:tblPr>
      <w:tblGrid>
        <w:gridCol w:w="3209"/>
        <w:gridCol w:w="790"/>
        <w:gridCol w:w="2956"/>
        <w:gridCol w:w="868"/>
        <w:gridCol w:w="1622"/>
      </w:tblGrid>
      <w:tr>
        <w:tblPrEx>
          <w:tblLayout w:type="fixed"/>
          <w:tblCellMar>
            <w:top w:w="0" w:type="dxa"/>
            <w:left w:w="0" w:type="dxa"/>
            <w:bottom w:w="0" w:type="dxa"/>
            <w:right w:w="0" w:type="dxa"/>
          </w:tblCellMar>
        </w:tblPrEx>
        <w:trPr>
          <w:jc w:val="center"/>
        </w:trPr>
        <w:tc>
          <w:tcPr>
            <w:tcW w:w="3209" w:type="dxa"/>
          </w:tcPr>
          <w:p>
            <w:pPr>
              <w:spacing w:line="260" w:lineRule="exact"/>
              <w:rPr>
                <w:sz w:val="18"/>
                <w:szCs w:val="18"/>
              </w:rPr>
            </w:pPr>
          </w:p>
        </w:tc>
        <w:tc>
          <w:tcPr>
            <w:tcW w:w="790" w:type="dxa"/>
          </w:tcPr>
          <w:p>
            <w:pPr>
              <w:spacing w:line="260" w:lineRule="exact"/>
              <w:rPr>
                <w:sz w:val="18"/>
                <w:szCs w:val="18"/>
              </w:rPr>
            </w:pPr>
          </w:p>
        </w:tc>
        <w:tc>
          <w:tcPr>
            <w:tcW w:w="2956" w:type="dxa"/>
          </w:tcPr>
          <w:p>
            <w:pPr>
              <w:spacing w:line="260" w:lineRule="exact"/>
              <w:rPr>
                <w:sz w:val="18"/>
                <w:szCs w:val="18"/>
              </w:rPr>
            </w:pPr>
          </w:p>
        </w:tc>
        <w:tc>
          <w:tcPr>
            <w:tcW w:w="868" w:type="dxa"/>
            <w:tcMar>
              <w:left w:w="0" w:type="dxa"/>
              <w:right w:w="0" w:type="dxa"/>
            </w:tcMar>
          </w:tcPr>
          <w:p>
            <w:pPr>
              <w:spacing w:line="260" w:lineRule="exact"/>
              <w:rPr>
                <w:sz w:val="18"/>
                <w:szCs w:val="18"/>
              </w:rPr>
            </w:pPr>
            <w:r>
              <w:rPr>
                <w:sz w:val="18"/>
                <w:szCs w:val="18"/>
              </w:rPr>
              <w:t>表    号：</w:t>
            </w:r>
          </w:p>
        </w:tc>
        <w:tc>
          <w:tcPr>
            <w:tcW w:w="1622" w:type="dxa"/>
            <w:vAlign w:val="center"/>
          </w:tcPr>
          <w:p>
            <w:pPr>
              <w:spacing w:line="260" w:lineRule="exact"/>
              <w:jc w:val="distribute"/>
              <w:rPr>
                <w:spacing w:val="-2"/>
                <w:kern w:val="0"/>
                <w:sz w:val="18"/>
                <w:szCs w:val="18"/>
              </w:rPr>
            </w:pPr>
            <w:r>
              <w:rPr>
                <w:spacing w:val="-2"/>
                <w:kern w:val="0"/>
                <w:sz w:val="18"/>
                <w:szCs w:val="18"/>
              </w:rPr>
              <w:t>２０５－３表</w:t>
            </w:r>
          </w:p>
        </w:tc>
      </w:tr>
      <w:tr>
        <w:tblPrEx>
          <w:tblLayout w:type="fixed"/>
          <w:tblCellMar>
            <w:top w:w="0" w:type="dxa"/>
            <w:left w:w="0" w:type="dxa"/>
            <w:bottom w:w="0" w:type="dxa"/>
            <w:right w:w="0" w:type="dxa"/>
          </w:tblCellMar>
        </w:tblPrEx>
        <w:trPr>
          <w:jc w:val="center"/>
        </w:trPr>
        <w:tc>
          <w:tcPr>
            <w:tcW w:w="6955" w:type="dxa"/>
            <w:gridSpan w:val="3"/>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868" w:type="dxa"/>
            <w:tcMar>
              <w:left w:w="0" w:type="dxa"/>
              <w:right w:w="0" w:type="dxa"/>
            </w:tcMar>
            <w:vAlign w:val="center"/>
          </w:tcPr>
          <w:p>
            <w:pPr>
              <w:spacing w:line="260" w:lineRule="exact"/>
              <w:rPr>
                <w:sz w:val="18"/>
                <w:szCs w:val="18"/>
              </w:rPr>
            </w:pPr>
            <w:r>
              <w:rPr>
                <w:sz w:val="18"/>
                <w:szCs w:val="18"/>
              </w:rPr>
              <w:t>制定机关：</w:t>
            </w:r>
          </w:p>
        </w:tc>
        <w:tc>
          <w:tcPr>
            <w:tcW w:w="1622" w:type="dxa"/>
            <w:vAlign w:val="center"/>
          </w:tcPr>
          <w:p>
            <w:pPr>
              <w:spacing w:line="260" w:lineRule="exact"/>
              <w:jc w:val="distribute"/>
              <w:rPr>
                <w:spacing w:val="-2"/>
                <w:kern w:val="0"/>
                <w:sz w:val="18"/>
                <w:szCs w:val="18"/>
              </w:rPr>
            </w:pPr>
            <w:r>
              <w:rPr>
                <w:spacing w:val="-2"/>
                <w:kern w:val="0"/>
                <w:sz w:val="18"/>
                <w:szCs w:val="18"/>
              </w:rPr>
              <w:t>国 家 统 计 局</w:t>
            </w:r>
          </w:p>
        </w:tc>
      </w:tr>
      <w:tr>
        <w:tblPrEx>
          <w:tblLayout w:type="fixed"/>
          <w:tblCellMar>
            <w:top w:w="0" w:type="dxa"/>
            <w:left w:w="0" w:type="dxa"/>
            <w:bottom w:w="0" w:type="dxa"/>
            <w:right w:w="0" w:type="dxa"/>
          </w:tblCellMar>
        </w:tblPrEx>
        <w:trPr>
          <w:jc w:val="center"/>
        </w:trPr>
        <w:tc>
          <w:tcPr>
            <w:tcW w:w="6955" w:type="dxa"/>
            <w:gridSpan w:val="3"/>
          </w:tcPr>
          <w:p>
            <w:pPr>
              <w:spacing w:line="260" w:lineRule="exac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868" w:type="dxa"/>
            <w:tcMar>
              <w:left w:w="0" w:type="dxa"/>
              <w:right w:w="0" w:type="dxa"/>
            </w:tcMar>
            <w:vAlign w:val="center"/>
          </w:tcPr>
          <w:p>
            <w:pPr>
              <w:spacing w:line="260" w:lineRule="exact"/>
              <w:rPr>
                <w:sz w:val="18"/>
                <w:szCs w:val="18"/>
              </w:rPr>
            </w:pPr>
            <w:r>
              <w:rPr>
                <w:sz w:val="18"/>
                <w:szCs w:val="18"/>
              </w:rPr>
              <w:t>文    号：</w:t>
            </w:r>
          </w:p>
        </w:tc>
        <w:tc>
          <w:tcPr>
            <w:tcW w:w="1622" w:type="dxa"/>
            <w:vAlign w:val="center"/>
          </w:tcPr>
          <w:p>
            <w:pPr>
              <w:spacing w:line="260" w:lineRule="exact"/>
              <w:jc w:val="distribute"/>
              <w:rPr>
                <w:spacing w:val="-2"/>
                <w:kern w:val="0"/>
                <w:sz w:val="18"/>
                <w:szCs w:val="18"/>
              </w:rPr>
            </w:pPr>
            <w:r>
              <w:rPr>
                <w:rFonts w:hint="eastAsia" w:ascii="宋体" w:hAnsi="宋体"/>
                <w:spacing w:val="-2"/>
                <w:kern w:val="0"/>
                <w:sz w:val="18"/>
                <w:szCs w:val="18"/>
              </w:rPr>
              <w:t>国统字〔2020〕105 号</w:t>
            </w:r>
          </w:p>
        </w:tc>
      </w:tr>
      <w:tr>
        <w:tblPrEx>
          <w:tblLayout w:type="fixed"/>
          <w:tblCellMar>
            <w:top w:w="0" w:type="dxa"/>
            <w:left w:w="0" w:type="dxa"/>
            <w:bottom w:w="0" w:type="dxa"/>
            <w:right w:w="0" w:type="dxa"/>
          </w:tblCellMar>
        </w:tblPrEx>
        <w:trPr>
          <w:jc w:val="center"/>
        </w:trPr>
        <w:tc>
          <w:tcPr>
            <w:tcW w:w="3209" w:type="dxa"/>
          </w:tcPr>
          <w:p>
            <w:pPr>
              <w:spacing w:line="260" w:lineRule="exact"/>
              <w:rPr>
                <w:sz w:val="18"/>
                <w:szCs w:val="18"/>
              </w:rPr>
            </w:pPr>
            <w:r>
              <w:rPr>
                <w:sz w:val="18"/>
              </w:rPr>
              <w:t>单位详细名称：</w:t>
            </w:r>
          </w:p>
        </w:tc>
        <w:tc>
          <w:tcPr>
            <w:tcW w:w="790" w:type="dxa"/>
          </w:tcPr>
          <w:p>
            <w:pPr>
              <w:spacing w:line="260" w:lineRule="exact"/>
              <w:rPr>
                <w:sz w:val="18"/>
                <w:szCs w:val="18"/>
              </w:rPr>
            </w:pPr>
          </w:p>
        </w:tc>
        <w:tc>
          <w:tcPr>
            <w:tcW w:w="2956" w:type="dxa"/>
          </w:tcPr>
          <w:p>
            <w:pPr>
              <w:spacing w:line="260" w:lineRule="exact"/>
              <w:rPr>
                <w:sz w:val="18"/>
                <w:szCs w:val="18"/>
              </w:rPr>
            </w:pPr>
            <w:r>
              <w:rPr>
                <w:sz w:val="18"/>
                <w:szCs w:val="18"/>
              </w:rPr>
              <w:t>２０　　年　１－　季</w:t>
            </w:r>
          </w:p>
        </w:tc>
        <w:tc>
          <w:tcPr>
            <w:tcW w:w="868" w:type="dxa"/>
            <w:tcMar>
              <w:left w:w="0" w:type="dxa"/>
              <w:right w:w="0" w:type="dxa"/>
            </w:tcMar>
            <w:vAlign w:val="center"/>
          </w:tcPr>
          <w:p>
            <w:pPr>
              <w:spacing w:line="260" w:lineRule="exact"/>
              <w:rPr>
                <w:sz w:val="18"/>
                <w:szCs w:val="18"/>
              </w:rPr>
            </w:pPr>
            <w:r>
              <w:rPr>
                <w:sz w:val="18"/>
                <w:szCs w:val="18"/>
              </w:rPr>
              <w:t>有效期至：</w:t>
            </w:r>
          </w:p>
        </w:tc>
        <w:tc>
          <w:tcPr>
            <w:tcW w:w="1622" w:type="dxa"/>
            <w:vAlign w:val="center"/>
          </w:tcPr>
          <w:p>
            <w:pPr>
              <w:spacing w:line="260" w:lineRule="exact"/>
              <w:jc w:val="distribute"/>
              <w:rPr>
                <w:spacing w:val="-2"/>
                <w:kern w:val="0"/>
                <w:sz w:val="18"/>
                <w:szCs w:val="18"/>
              </w:rPr>
            </w:pPr>
            <w:r>
              <w:rPr>
                <w:spacing w:val="-2"/>
                <w:kern w:val="0"/>
                <w:sz w:val="18"/>
                <w:szCs w:val="18"/>
              </w:rPr>
              <w:t>２０２２年１月</w:t>
            </w:r>
          </w:p>
        </w:tc>
      </w:tr>
    </w:tbl>
    <w:p>
      <w:pPr>
        <w:spacing w:line="20" w:lineRule="exact"/>
        <w:rPr>
          <w:sz w:val="18"/>
          <w:szCs w:val="18"/>
        </w:rPr>
      </w:pPr>
    </w:p>
    <w:tbl>
      <w:tblPr>
        <w:tblStyle w:val="25"/>
        <w:tblW w:w="9461" w:type="dxa"/>
        <w:jc w:val="center"/>
        <w:tblInd w:w="50" w:type="dxa"/>
        <w:tblLayout w:type="fixed"/>
        <w:tblCellMar>
          <w:top w:w="0" w:type="dxa"/>
          <w:left w:w="0" w:type="dxa"/>
          <w:bottom w:w="0" w:type="dxa"/>
          <w:right w:w="0" w:type="dxa"/>
        </w:tblCellMar>
      </w:tblPr>
      <w:tblGrid>
        <w:gridCol w:w="969"/>
        <w:gridCol w:w="691"/>
        <w:gridCol w:w="692"/>
        <w:gridCol w:w="692"/>
        <w:gridCol w:w="640"/>
        <w:gridCol w:w="798"/>
        <w:gridCol w:w="829"/>
        <w:gridCol w:w="830"/>
        <w:gridCol w:w="830"/>
        <w:gridCol w:w="830"/>
        <w:gridCol w:w="830"/>
        <w:gridCol w:w="830"/>
      </w:tblGrid>
      <w:tr>
        <w:tblPrEx>
          <w:tblLayout w:type="fixed"/>
          <w:tblCellMar>
            <w:top w:w="0" w:type="dxa"/>
            <w:left w:w="0" w:type="dxa"/>
            <w:bottom w:w="0" w:type="dxa"/>
            <w:right w:w="0" w:type="dxa"/>
          </w:tblCellMar>
        </w:tblPrEx>
        <w:trPr>
          <w:trHeight w:val="454" w:hRule="atLeast"/>
          <w:jc w:val="center"/>
        </w:trPr>
        <w:tc>
          <w:tcPr>
            <w:tcW w:w="969" w:type="dxa"/>
            <w:vMerge w:val="restart"/>
            <w:tcBorders>
              <w:top w:val="single" w:color="auto" w:sz="8" w:space="0"/>
              <w:bottom w:val="single" w:color="auto" w:sz="4"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单位产品   能耗名称</w:t>
            </w:r>
          </w:p>
        </w:tc>
        <w:tc>
          <w:tcPr>
            <w:tcW w:w="2075" w:type="dxa"/>
            <w:gridSpan w:val="3"/>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计量单位</w:t>
            </w:r>
          </w:p>
        </w:tc>
        <w:tc>
          <w:tcPr>
            <w:tcW w:w="640" w:type="dxa"/>
            <w:vMerge w:val="restart"/>
            <w:tcBorders>
              <w:top w:val="single" w:color="auto" w:sz="8" w:space="0"/>
              <w:left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代码</w:t>
            </w:r>
          </w:p>
        </w:tc>
        <w:tc>
          <w:tcPr>
            <w:tcW w:w="798" w:type="dxa"/>
            <w:vMerge w:val="restart"/>
            <w:tcBorders>
              <w:top w:val="single" w:color="auto" w:sz="8" w:space="0"/>
              <w:left w:val="single" w:color="auto" w:sz="2" w:space="0"/>
              <w:bottom w:val="single" w:color="000000" w:sz="4"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单位换算　　　系    数</w:t>
            </w:r>
          </w:p>
        </w:tc>
        <w:tc>
          <w:tcPr>
            <w:tcW w:w="2489" w:type="dxa"/>
            <w:gridSpan w:val="3"/>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本    期</w:t>
            </w:r>
          </w:p>
        </w:tc>
        <w:tc>
          <w:tcPr>
            <w:tcW w:w="2490" w:type="dxa"/>
            <w:gridSpan w:val="3"/>
            <w:tcBorders>
              <w:top w:val="single" w:color="auto" w:sz="8" w:space="0"/>
              <w:left w:val="single" w:color="auto" w:sz="2" w:space="0"/>
              <w:bottom w:val="single" w:color="auto" w:sz="2" w:space="0"/>
            </w:tcBorders>
            <w:shd w:val="clear" w:color="auto" w:fill="D9D9D9"/>
            <w:tcMar>
              <w:top w:w="15" w:type="dxa"/>
              <w:left w:w="15" w:type="dxa"/>
              <w:bottom w:w="0" w:type="dxa"/>
              <w:right w:w="15" w:type="dxa"/>
            </w:tcMar>
            <w:vAlign w:val="center"/>
          </w:tcPr>
          <w:p>
            <w:pPr>
              <w:spacing w:line="240" w:lineRule="exact"/>
              <w:jc w:val="center"/>
              <w:rPr>
                <w:bCs/>
                <w:sz w:val="18"/>
                <w:szCs w:val="18"/>
              </w:rPr>
            </w:pPr>
            <w:r>
              <w:rPr>
                <w:bCs/>
                <w:sz w:val="18"/>
                <w:szCs w:val="18"/>
              </w:rPr>
              <w:t>上年同期</w:t>
            </w:r>
          </w:p>
        </w:tc>
      </w:tr>
      <w:tr>
        <w:tblPrEx>
          <w:tblLayout w:type="fixed"/>
          <w:tblCellMar>
            <w:top w:w="0" w:type="dxa"/>
            <w:left w:w="0" w:type="dxa"/>
            <w:bottom w:w="0" w:type="dxa"/>
            <w:right w:w="0" w:type="dxa"/>
          </w:tblCellMar>
        </w:tblPrEx>
        <w:trPr>
          <w:trHeight w:val="737" w:hRule="atLeast"/>
          <w:jc w:val="center"/>
        </w:trPr>
        <w:tc>
          <w:tcPr>
            <w:tcW w:w="969" w:type="dxa"/>
            <w:vMerge w:val="continue"/>
            <w:tcBorders>
              <w:top w:val="single" w:color="auto" w:sz="4" w:space="0"/>
              <w:bottom w:val="single" w:color="auto" w:sz="2" w:space="0"/>
              <w:right w:val="single" w:color="auto" w:sz="2" w:space="0"/>
            </w:tcBorders>
            <w:shd w:val="clear" w:color="auto" w:fill="auto"/>
            <w:vAlign w:val="center"/>
          </w:tcPr>
          <w:p>
            <w:pPr>
              <w:spacing w:line="240" w:lineRule="exact"/>
              <w:jc w:val="center"/>
              <w:rPr>
                <w:bCs/>
                <w:sz w:val="18"/>
                <w:szCs w:val="18"/>
              </w:rPr>
            </w:pPr>
          </w:p>
        </w:tc>
        <w:tc>
          <w:tcPr>
            <w:tcW w:w="691"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bCs/>
                <w:sz w:val="18"/>
                <w:szCs w:val="18"/>
              </w:rPr>
            </w:pPr>
            <w:r>
              <w:rPr>
                <w:bCs/>
                <w:sz w:val="18"/>
                <w:szCs w:val="18"/>
              </w:rPr>
              <w:t>指标    单位</w:t>
            </w:r>
          </w:p>
        </w:tc>
        <w:tc>
          <w:tcPr>
            <w:tcW w:w="692"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子项    单位</w:t>
            </w:r>
          </w:p>
        </w:tc>
        <w:tc>
          <w:tcPr>
            <w:tcW w:w="692"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母项    单位</w:t>
            </w:r>
          </w:p>
        </w:tc>
        <w:tc>
          <w:tcPr>
            <w:tcW w:w="640" w:type="dxa"/>
            <w:vMerge w:val="continue"/>
            <w:tcBorders>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p>
        </w:tc>
        <w:tc>
          <w:tcPr>
            <w:tcW w:w="798" w:type="dxa"/>
            <w:vMerge w:val="continue"/>
            <w:tcBorders>
              <w:top w:val="single" w:color="auto" w:sz="8"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p>
        </w:tc>
        <w:tc>
          <w:tcPr>
            <w:tcW w:w="829"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szCs w:val="18"/>
              </w:rPr>
            </w:pPr>
            <w:r>
              <w:rPr>
                <w:bCs/>
                <w:sz w:val="18"/>
                <w:szCs w:val="18"/>
              </w:rPr>
              <w:t>指标值</w:t>
            </w:r>
          </w:p>
        </w:tc>
        <w:tc>
          <w:tcPr>
            <w:tcW w:w="83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rPr>
            </w:pPr>
            <w:r>
              <w:rPr>
                <w:bCs/>
                <w:sz w:val="18"/>
              </w:rPr>
              <w:t>子项值</w:t>
            </w:r>
          </w:p>
        </w:tc>
        <w:tc>
          <w:tcPr>
            <w:tcW w:w="83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rPr>
                <w:bCs/>
                <w:sz w:val="18"/>
              </w:rPr>
            </w:pPr>
            <w:r>
              <w:rPr>
                <w:bCs/>
                <w:sz w:val="18"/>
              </w:rPr>
              <w:t>母项值</w:t>
            </w:r>
          </w:p>
        </w:tc>
        <w:tc>
          <w:tcPr>
            <w:tcW w:w="830" w:type="dxa"/>
            <w:tcBorders>
              <w:top w:val="single" w:color="auto" w:sz="2" w:space="0"/>
              <w:left w:val="single" w:color="auto" w:sz="2" w:space="0"/>
              <w:bottom w:val="single" w:color="auto" w:sz="2" w:space="0"/>
              <w:right w:val="single" w:color="auto" w:sz="2" w:space="0"/>
            </w:tcBorders>
            <w:shd w:val="clear" w:color="auto" w:fill="D9D9D9"/>
            <w:tcMar>
              <w:top w:w="15" w:type="dxa"/>
              <w:left w:w="15" w:type="dxa"/>
              <w:bottom w:w="0" w:type="dxa"/>
              <w:right w:w="15" w:type="dxa"/>
            </w:tcMar>
            <w:vAlign w:val="center"/>
          </w:tcPr>
          <w:p>
            <w:pPr>
              <w:spacing w:line="240" w:lineRule="exact"/>
              <w:jc w:val="center"/>
              <w:rPr>
                <w:bCs/>
                <w:sz w:val="18"/>
                <w:szCs w:val="18"/>
              </w:rPr>
            </w:pPr>
            <w:r>
              <w:rPr>
                <w:bCs/>
                <w:sz w:val="18"/>
                <w:szCs w:val="18"/>
              </w:rPr>
              <w:t>指标值</w:t>
            </w:r>
          </w:p>
        </w:tc>
        <w:tc>
          <w:tcPr>
            <w:tcW w:w="830" w:type="dxa"/>
            <w:tcBorders>
              <w:top w:val="single" w:color="auto" w:sz="2" w:space="0"/>
              <w:left w:val="single" w:color="auto" w:sz="2" w:space="0"/>
              <w:bottom w:val="single" w:color="auto" w:sz="2" w:space="0"/>
              <w:right w:val="single" w:color="auto" w:sz="2" w:space="0"/>
            </w:tcBorders>
            <w:shd w:val="clear" w:color="auto" w:fill="D9D9D9"/>
            <w:tcMar>
              <w:top w:w="15" w:type="dxa"/>
              <w:left w:w="15" w:type="dxa"/>
              <w:bottom w:w="0" w:type="dxa"/>
              <w:right w:w="15" w:type="dxa"/>
            </w:tcMar>
            <w:vAlign w:val="center"/>
          </w:tcPr>
          <w:p>
            <w:pPr>
              <w:spacing w:line="240" w:lineRule="exact"/>
              <w:jc w:val="center"/>
              <w:rPr>
                <w:bCs/>
                <w:sz w:val="18"/>
                <w:szCs w:val="18"/>
              </w:rPr>
            </w:pPr>
            <w:r>
              <w:rPr>
                <w:bCs/>
                <w:sz w:val="18"/>
                <w:szCs w:val="18"/>
              </w:rPr>
              <w:t>子项值</w:t>
            </w:r>
          </w:p>
        </w:tc>
        <w:tc>
          <w:tcPr>
            <w:tcW w:w="830" w:type="dxa"/>
            <w:tcBorders>
              <w:top w:val="single" w:color="auto" w:sz="2" w:space="0"/>
              <w:left w:val="single" w:color="auto" w:sz="2" w:space="0"/>
              <w:bottom w:val="single" w:color="auto" w:sz="2" w:space="0"/>
            </w:tcBorders>
            <w:shd w:val="clear" w:color="auto" w:fill="D9D9D9"/>
            <w:tcMar>
              <w:top w:w="15" w:type="dxa"/>
              <w:left w:w="15" w:type="dxa"/>
              <w:bottom w:w="0" w:type="dxa"/>
              <w:right w:w="15" w:type="dxa"/>
            </w:tcMar>
            <w:vAlign w:val="center"/>
          </w:tcPr>
          <w:p>
            <w:pPr>
              <w:spacing w:line="240" w:lineRule="exact"/>
              <w:jc w:val="center"/>
              <w:rPr>
                <w:bCs/>
                <w:sz w:val="18"/>
                <w:szCs w:val="18"/>
              </w:rPr>
            </w:pPr>
            <w:r>
              <w:rPr>
                <w:bCs/>
                <w:sz w:val="18"/>
                <w:szCs w:val="18"/>
              </w:rPr>
              <w:t>母项值</w:t>
            </w:r>
          </w:p>
        </w:tc>
      </w:tr>
      <w:tr>
        <w:tblPrEx>
          <w:tblLayout w:type="fixed"/>
          <w:tblCellMar>
            <w:top w:w="0" w:type="dxa"/>
            <w:left w:w="0" w:type="dxa"/>
            <w:bottom w:w="0" w:type="dxa"/>
            <w:right w:w="0" w:type="dxa"/>
          </w:tblCellMar>
        </w:tblPrEx>
        <w:trPr>
          <w:trHeight w:val="306" w:hRule="atLeast"/>
          <w:jc w:val="center"/>
        </w:trPr>
        <w:tc>
          <w:tcPr>
            <w:tcW w:w="969" w:type="dxa"/>
            <w:tcBorders>
              <w:top w:val="single" w:color="auto" w:sz="2" w:space="0"/>
              <w:left w:val="nil"/>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甲</w:t>
            </w:r>
          </w:p>
        </w:tc>
        <w:tc>
          <w:tcPr>
            <w:tcW w:w="691"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乙</w:t>
            </w:r>
          </w:p>
        </w:tc>
        <w:tc>
          <w:tcPr>
            <w:tcW w:w="692"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丙</w:t>
            </w:r>
          </w:p>
        </w:tc>
        <w:tc>
          <w:tcPr>
            <w:tcW w:w="692"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丁</w:t>
            </w:r>
          </w:p>
        </w:tc>
        <w:tc>
          <w:tcPr>
            <w:tcW w:w="64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textAlignment w:val="center"/>
              <w:rPr>
                <w:bCs/>
                <w:sz w:val="18"/>
                <w:szCs w:val="18"/>
              </w:rPr>
            </w:pPr>
            <w:r>
              <w:rPr>
                <w:bCs/>
                <w:sz w:val="18"/>
                <w:szCs w:val="18"/>
              </w:rPr>
              <w:t>戊</w:t>
            </w:r>
          </w:p>
        </w:tc>
        <w:tc>
          <w:tcPr>
            <w:tcW w:w="798"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textAlignment w:val="center"/>
              <w:rPr>
                <w:rFonts w:ascii="宋体" w:hAnsi="宋体" w:cs="宋体"/>
                <w:bCs/>
                <w:sz w:val="18"/>
                <w:szCs w:val="18"/>
              </w:rPr>
            </w:pPr>
            <w:r>
              <w:rPr>
                <w:rFonts w:ascii="宋体" w:hAnsi="宋体" w:cs="宋体"/>
                <w:bCs/>
                <w:sz w:val="18"/>
                <w:szCs w:val="18"/>
              </w:rPr>
              <w:t>1</w:t>
            </w:r>
          </w:p>
        </w:tc>
        <w:tc>
          <w:tcPr>
            <w:tcW w:w="829"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textAlignment w:val="center"/>
              <w:rPr>
                <w:rFonts w:ascii="宋体" w:hAnsi="宋体" w:cs="宋体"/>
                <w:bCs/>
                <w:sz w:val="18"/>
                <w:szCs w:val="18"/>
              </w:rPr>
            </w:pPr>
            <w:r>
              <w:rPr>
                <w:rFonts w:ascii="宋体" w:hAnsi="宋体" w:cs="宋体"/>
                <w:bCs/>
                <w:sz w:val="18"/>
                <w:szCs w:val="18"/>
              </w:rPr>
              <w:t>2</w:t>
            </w:r>
          </w:p>
        </w:tc>
        <w:tc>
          <w:tcPr>
            <w:tcW w:w="83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textAlignment w:val="center"/>
              <w:rPr>
                <w:rFonts w:ascii="宋体" w:hAnsi="宋体" w:cs="宋体"/>
                <w:bCs/>
                <w:sz w:val="18"/>
                <w:szCs w:val="18"/>
              </w:rPr>
            </w:pPr>
            <w:r>
              <w:rPr>
                <w:rFonts w:ascii="宋体" w:hAnsi="宋体" w:cs="宋体"/>
                <w:bCs/>
                <w:sz w:val="18"/>
                <w:szCs w:val="18"/>
              </w:rPr>
              <w:t>3</w:t>
            </w:r>
          </w:p>
        </w:tc>
        <w:tc>
          <w:tcPr>
            <w:tcW w:w="830"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0" w:type="dxa"/>
              <w:right w:w="15" w:type="dxa"/>
            </w:tcMar>
            <w:vAlign w:val="center"/>
          </w:tcPr>
          <w:p>
            <w:pPr>
              <w:spacing w:line="240" w:lineRule="exact"/>
              <w:jc w:val="center"/>
              <w:textAlignment w:val="center"/>
              <w:rPr>
                <w:rFonts w:ascii="宋体" w:hAnsi="宋体" w:cs="宋体"/>
                <w:bCs/>
                <w:sz w:val="18"/>
                <w:szCs w:val="18"/>
              </w:rPr>
            </w:pPr>
            <w:r>
              <w:rPr>
                <w:rFonts w:ascii="宋体" w:hAnsi="宋体" w:cs="宋体"/>
                <w:bCs/>
                <w:sz w:val="18"/>
                <w:szCs w:val="18"/>
              </w:rPr>
              <w:t>4</w:t>
            </w:r>
          </w:p>
        </w:tc>
        <w:tc>
          <w:tcPr>
            <w:tcW w:w="830" w:type="dxa"/>
            <w:tcBorders>
              <w:top w:val="single" w:color="auto" w:sz="2" w:space="0"/>
              <w:left w:val="single" w:color="auto" w:sz="2" w:space="0"/>
              <w:bottom w:val="single" w:color="auto" w:sz="2" w:space="0"/>
              <w:right w:val="single" w:color="auto" w:sz="2" w:space="0"/>
            </w:tcBorders>
            <w:shd w:val="clear" w:color="auto" w:fill="D9D9D9"/>
            <w:tcMar>
              <w:top w:w="15" w:type="dxa"/>
              <w:left w:w="15" w:type="dxa"/>
              <w:bottom w:w="0" w:type="dxa"/>
              <w:right w:w="15" w:type="dxa"/>
            </w:tcMar>
            <w:vAlign w:val="center"/>
          </w:tcPr>
          <w:p>
            <w:pPr>
              <w:spacing w:line="240" w:lineRule="exact"/>
              <w:jc w:val="center"/>
              <w:textAlignment w:val="center"/>
              <w:rPr>
                <w:rFonts w:ascii="宋体" w:hAnsi="宋体" w:cs="宋体"/>
                <w:bCs/>
                <w:sz w:val="18"/>
                <w:szCs w:val="18"/>
              </w:rPr>
            </w:pPr>
            <w:r>
              <w:rPr>
                <w:rFonts w:ascii="宋体" w:hAnsi="宋体" w:cs="宋体"/>
                <w:bCs/>
                <w:sz w:val="18"/>
                <w:szCs w:val="18"/>
              </w:rPr>
              <w:t>5</w:t>
            </w:r>
          </w:p>
        </w:tc>
        <w:tc>
          <w:tcPr>
            <w:tcW w:w="830" w:type="dxa"/>
            <w:tcBorders>
              <w:top w:val="single" w:color="auto" w:sz="2" w:space="0"/>
              <w:left w:val="single" w:color="auto" w:sz="2" w:space="0"/>
              <w:bottom w:val="single" w:color="auto" w:sz="2" w:space="0"/>
              <w:right w:val="single" w:color="auto" w:sz="2" w:space="0"/>
            </w:tcBorders>
            <w:shd w:val="clear" w:color="auto" w:fill="D9D9D9"/>
            <w:tcMar>
              <w:top w:w="15" w:type="dxa"/>
              <w:left w:w="15" w:type="dxa"/>
              <w:bottom w:w="0" w:type="dxa"/>
              <w:right w:w="15" w:type="dxa"/>
            </w:tcMar>
            <w:vAlign w:val="center"/>
          </w:tcPr>
          <w:p>
            <w:pPr>
              <w:spacing w:line="240" w:lineRule="exact"/>
              <w:jc w:val="center"/>
              <w:textAlignment w:val="center"/>
              <w:rPr>
                <w:rFonts w:ascii="宋体" w:hAnsi="宋体" w:cs="宋体"/>
                <w:bCs/>
                <w:sz w:val="18"/>
                <w:szCs w:val="18"/>
              </w:rPr>
            </w:pPr>
            <w:r>
              <w:rPr>
                <w:rFonts w:ascii="宋体" w:hAnsi="宋体" w:cs="宋体"/>
                <w:bCs/>
                <w:sz w:val="18"/>
                <w:szCs w:val="18"/>
              </w:rPr>
              <w:t>6</w:t>
            </w:r>
          </w:p>
        </w:tc>
        <w:tc>
          <w:tcPr>
            <w:tcW w:w="830" w:type="dxa"/>
            <w:tcBorders>
              <w:top w:val="single" w:color="auto" w:sz="2" w:space="0"/>
              <w:left w:val="single" w:color="auto" w:sz="2" w:space="0"/>
              <w:bottom w:val="single" w:color="auto" w:sz="2" w:space="0"/>
            </w:tcBorders>
            <w:shd w:val="clear" w:color="auto" w:fill="D9D9D9"/>
            <w:tcMar>
              <w:top w:w="15" w:type="dxa"/>
              <w:left w:w="15" w:type="dxa"/>
              <w:bottom w:w="0" w:type="dxa"/>
              <w:right w:w="15" w:type="dxa"/>
            </w:tcMar>
            <w:vAlign w:val="center"/>
          </w:tcPr>
          <w:p>
            <w:pPr>
              <w:spacing w:line="240" w:lineRule="exact"/>
              <w:jc w:val="center"/>
              <w:textAlignment w:val="center"/>
              <w:rPr>
                <w:rFonts w:ascii="宋体" w:hAnsi="宋体" w:cs="宋体"/>
                <w:bCs/>
                <w:sz w:val="18"/>
                <w:szCs w:val="18"/>
              </w:rPr>
            </w:pPr>
            <w:r>
              <w:rPr>
                <w:rFonts w:ascii="宋体" w:hAnsi="宋体" w:cs="宋体"/>
                <w:bCs/>
                <w:sz w:val="18"/>
                <w:szCs w:val="18"/>
              </w:rPr>
              <w:t>7</w:t>
            </w:r>
          </w:p>
        </w:tc>
      </w:tr>
      <w:tr>
        <w:tblPrEx>
          <w:tblLayout w:type="fixed"/>
          <w:tblCellMar>
            <w:top w:w="0" w:type="dxa"/>
            <w:left w:w="0" w:type="dxa"/>
            <w:bottom w:w="0" w:type="dxa"/>
            <w:right w:w="0" w:type="dxa"/>
          </w:tblCellMar>
        </w:tblPrEx>
        <w:trPr>
          <w:trHeight w:val="1345" w:hRule="atLeast"/>
          <w:jc w:val="center"/>
        </w:trPr>
        <w:tc>
          <w:tcPr>
            <w:tcW w:w="969" w:type="dxa"/>
            <w:tcBorders>
              <w:top w:val="single" w:color="auto" w:sz="2" w:space="0"/>
              <w:bottom w:val="single" w:color="auto" w:sz="8" w:space="0"/>
              <w:right w:val="single" w:color="auto" w:sz="2" w:space="0"/>
            </w:tcBorders>
            <w:vAlign w:val="center"/>
          </w:tcPr>
          <w:p>
            <w:pPr>
              <w:spacing w:line="240" w:lineRule="exact"/>
              <w:rPr>
                <w:bCs/>
                <w:szCs w:val="21"/>
              </w:rPr>
            </w:pPr>
          </w:p>
        </w:tc>
        <w:tc>
          <w:tcPr>
            <w:tcW w:w="691" w:type="dxa"/>
            <w:tcBorders>
              <w:top w:val="single" w:color="auto" w:sz="2" w:space="0"/>
              <w:left w:val="single" w:color="auto" w:sz="2" w:space="0"/>
              <w:bottom w:val="single" w:color="auto" w:sz="8" w:space="0"/>
              <w:right w:val="single" w:color="auto" w:sz="2" w:space="0"/>
            </w:tcBorders>
            <w:vAlign w:val="center"/>
          </w:tcPr>
          <w:p>
            <w:pPr>
              <w:spacing w:line="240" w:lineRule="exact"/>
              <w:rPr>
                <w:bCs/>
                <w:sz w:val="18"/>
                <w:szCs w:val="18"/>
              </w:rPr>
            </w:pPr>
          </w:p>
        </w:tc>
        <w:tc>
          <w:tcPr>
            <w:tcW w:w="692" w:type="dxa"/>
            <w:tcBorders>
              <w:top w:val="nil"/>
              <w:left w:val="single" w:color="auto" w:sz="2" w:space="0"/>
              <w:bottom w:val="single" w:color="auto" w:sz="8" w:space="0"/>
              <w:right w:val="single" w:color="auto" w:sz="2" w:space="0"/>
            </w:tcBorders>
            <w:vAlign w:val="center"/>
          </w:tcPr>
          <w:p>
            <w:pPr>
              <w:spacing w:line="240" w:lineRule="exact"/>
              <w:rPr>
                <w:bCs/>
                <w:szCs w:val="21"/>
              </w:rPr>
            </w:pPr>
          </w:p>
        </w:tc>
        <w:tc>
          <w:tcPr>
            <w:tcW w:w="692" w:type="dxa"/>
            <w:tcBorders>
              <w:top w:val="single" w:color="auto" w:sz="2" w:space="0"/>
              <w:left w:val="single" w:color="auto" w:sz="2" w:space="0"/>
              <w:bottom w:val="single" w:color="auto" w:sz="8" w:space="0"/>
              <w:right w:val="single" w:color="auto" w:sz="2" w:space="0"/>
            </w:tcBorders>
            <w:vAlign w:val="center"/>
          </w:tcPr>
          <w:p>
            <w:pPr>
              <w:spacing w:line="240" w:lineRule="exact"/>
              <w:rPr>
                <w:bCs/>
                <w:szCs w:val="21"/>
              </w:rPr>
            </w:pPr>
          </w:p>
        </w:tc>
        <w:tc>
          <w:tcPr>
            <w:tcW w:w="640" w:type="dxa"/>
            <w:tcBorders>
              <w:top w:val="single" w:color="auto" w:sz="2" w:space="0"/>
              <w:left w:val="single" w:color="auto" w:sz="2" w:space="0"/>
              <w:bottom w:val="single" w:color="auto" w:sz="8" w:space="0"/>
              <w:right w:val="single" w:color="auto" w:sz="2" w:space="0"/>
            </w:tcBorders>
            <w:vAlign w:val="center"/>
          </w:tcPr>
          <w:p>
            <w:pPr>
              <w:spacing w:line="240" w:lineRule="exact"/>
              <w:rPr>
                <w:bCs/>
                <w:szCs w:val="21"/>
              </w:rPr>
            </w:pPr>
          </w:p>
        </w:tc>
        <w:tc>
          <w:tcPr>
            <w:tcW w:w="5777" w:type="dxa"/>
            <w:gridSpan w:val="7"/>
            <w:tcBorders>
              <w:top w:val="nil"/>
              <w:left w:val="single" w:color="auto" w:sz="2" w:space="0"/>
              <w:bottom w:val="single" w:color="auto" w:sz="8" w:space="0"/>
            </w:tcBorders>
            <w:vAlign w:val="center"/>
          </w:tcPr>
          <w:p>
            <w:pPr>
              <w:spacing w:line="240" w:lineRule="exact"/>
              <w:rPr>
                <w:bCs/>
                <w:szCs w:val="21"/>
              </w:rPr>
            </w:pPr>
          </w:p>
        </w:tc>
      </w:tr>
    </w:tbl>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tabs>
          <w:tab w:val="left" w:pos="5430"/>
        </w:tabs>
        <w:adjustRightInd w:val="0"/>
        <w:ind w:right="-38" w:rightChars="-18"/>
        <w:rPr>
          <w:b/>
          <w:sz w:val="18"/>
          <w:szCs w:val="18"/>
        </w:rPr>
      </w:pPr>
    </w:p>
    <w:p>
      <w:pPr>
        <w:spacing w:line="280" w:lineRule="exact"/>
        <w:rPr>
          <w:sz w:val="18"/>
          <w:szCs w:val="18"/>
        </w:rPr>
      </w:pPr>
      <w:r>
        <w:rPr>
          <w:sz w:val="18"/>
          <w:szCs w:val="18"/>
        </w:rPr>
        <w:t>说明：</w:t>
      </w:r>
      <w:r>
        <w:rPr>
          <w:rFonts w:ascii="宋体" w:hAnsi="宋体" w:cs="宋体"/>
          <w:sz w:val="18"/>
          <w:szCs w:val="18"/>
        </w:rPr>
        <w:t>1.</w:t>
      </w:r>
      <w:r>
        <w:rPr>
          <w:sz w:val="18"/>
          <w:szCs w:val="18"/>
        </w:rPr>
        <w:t>统计范围：辖区内年综合能源消费量</w:t>
      </w:r>
      <w:r>
        <w:rPr>
          <w:rFonts w:ascii="宋体" w:hAnsi="宋体" w:cs="宋体"/>
          <w:sz w:val="18"/>
          <w:szCs w:val="18"/>
        </w:rPr>
        <w:t>1</w:t>
      </w:r>
      <w:r>
        <w:rPr>
          <w:sz w:val="18"/>
          <w:szCs w:val="18"/>
        </w:rPr>
        <w:t>万吨标准煤及以上的规模以上工业法人单位。</w:t>
      </w:r>
    </w:p>
    <w:p>
      <w:pPr>
        <w:snapToGrid w:val="0"/>
        <w:spacing w:line="280" w:lineRule="exact"/>
        <w:ind w:left="2122" w:leftChars="256" w:hanging="1584" w:hangingChars="880"/>
        <w:rPr>
          <w:sz w:val="18"/>
          <w:szCs w:val="18"/>
        </w:rPr>
      </w:pPr>
      <w:r>
        <w:rPr>
          <w:rFonts w:ascii="宋体" w:hAnsi="宋体" w:cs="宋体"/>
          <w:sz w:val="18"/>
          <w:szCs w:val="18"/>
        </w:rPr>
        <w:t>2.</w:t>
      </w:r>
      <w:r>
        <w:rPr>
          <w:sz w:val="18"/>
          <w:szCs w:val="18"/>
        </w:rPr>
        <w:t>报送日期及方式：调查单位</w:t>
      </w:r>
      <w:r>
        <w:rPr>
          <w:rFonts w:hint="eastAsia"/>
          <w:sz w:val="18"/>
          <w:szCs w:val="18"/>
        </w:rPr>
        <w:t>一、二季度季后</w:t>
      </w:r>
      <w:r>
        <w:rPr>
          <w:rFonts w:ascii="宋体" w:hAnsi="宋体" w:cs="宋体"/>
          <w:sz w:val="18"/>
          <w:szCs w:val="18"/>
        </w:rPr>
        <w:t>10</w:t>
      </w:r>
      <w:r>
        <w:rPr>
          <w:rFonts w:hint="eastAsia"/>
          <w:sz w:val="18"/>
          <w:szCs w:val="18"/>
        </w:rPr>
        <w:t>日，三、四季度季后</w:t>
      </w:r>
      <w:r>
        <w:rPr>
          <w:rFonts w:hint="eastAsia" w:ascii="宋体" w:hAnsi="宋体" w:cs="宋体"/>
          <w:sz w:val="18"/>
          <w:szCs w:val="18"/>
        </w:rPr>
        <w:t>12日12:00</w:t>
      </w:r>
      <w:r>
        <w:rPr>
          <w:rFonts w:hAnsi="宋体"/>
          <w:sz w:val="18"/>
          <w:szCs w:val="18"/>
        </w:rPr>
        <w:t>前</w:t>
      </w:r>
      <w:r>
        <w:rPr>
          <w:sz w:val="18"/>
        </w:rPr>
        <w:t>独立自行</w:t>
      </w:r>
      <w:r>
        <w:rPr>
          <w:sz w:val="18"/>
          <w:szCs w:val="18"/>
        </w:rPr>
        <w:t>网上填报；</w:t>
      </w:r>
      <w:r>
        <w:rPr>
          <w:rFonts w:hint="eastAsia"/>
          <w:sz w:val="18"/>
          <w:szCs w:val="18"/>
        </w:rPr>
        <w:t>市</w:t>
      </w:r>
      <w:r>
        <w:rPr>
          <w:sz w:val="18"/>
          <w:szCs w:val="18"/>
        </w:rPr>
        <w:t>级统</w:t>
      </w:r>
    </w:p>
    <w:p>
      <w:pPr>
        <w:snapToGrid w:val="0"/>
        <w:spacing w:line="280" w:lineRule="exact"/>
        <w:ind w:left="2317" w:leftChars="1035" w:hanging="144" w:hangingChars="80"/>
        <w:rPr>
          <w:sz w:val="18"/>
          <w:szCs w:val="18"/>
        </w:rPr>
      </w:pPr>
      <w:r>
        <w:rPr>
          <w:sz w:val="18"/>
          <w:szCs w:val="18"/>
        </w:rPr>
        <w:t>计机构</w:t>
      </w:r>
      <w:r>
        <w:rPr>
          <w:rFonts w:hint="eastAsia"/>
          <w:sz w:val="18"/>
          <w:szCs w:val="18"/>
        </w:rPr>
        <w:t>季后</w:t>
      </w:r>
      <w:r>
        <w:rPr>
          <w:rFonts w:ascii="宋体" w:hAnsi="宋体" w:cs="宋体"/>
          <w:sz w:val="18"/>
          <w:szCs w:val="18"/>
        </w:rPr>
        <w:t>13</w:t>
      </w:r>
      <w:r>
        <w:rPr>
          <w:rFonts w:hint="eastAsia" w:ascii="宋体" w:hAnsi="宋体" w:cs="宋体"/>
          <w:sz w:val="18"/>
          <w:szCs w:val="18"/>
        </w:rPr>
        <w:t>日12:00</w:t>
      </w:r>
      <w:r>
        <w:rPr>
          <w:sz w:val="18"/>
          <w:szCs w:val="18"/>
        </w:rPr>
        <w:t>前完成审核、验收、上报。</w:t>
      </w:r>
    </w:p>
    <w:p>
      <w:pPr>
        <w:spacing w:line="280" w:lineRule="exact"/>
        <w:ind w:firstLine="540" w:firstLineChars="300"/>
        <w:rPr>
          <w:sz w:val="18"/>
          <w:szCs w:val="18"/>
        </w:rPr>
      </w:pPr>
      <w:r>
        <w:rPr>
          <w:rFonts w:ascii="宋体" w:hAnsi="宋体" w:cs="宋体"/>
          <w:sz w:val="18"/>
          <w:szCs w:val="18"/>
        </w:rPr>
        <w:t>3.</w:t>
      </w:r>
      <w:r>
        <w:rPr>
          <w:sz w:val="18"/>
          <w:szCs w:val="18"/>
        </w:rPr>
        <w:t>本表甲栏下按《主要耗能工业企业单位产品能源消</w:t>
      </w:r>
      <w:r>
        <w:rPr>
          <w:rFonts w:hint="eastAsia"/>
          <w:sz w:val="18"/>
          <w:szCs w:val="18"/>
        </w:rPr>
        <w:t>费</w:t>
      </w:r>
      <w:r>
        <w:rPr>
          <w:sz w:val="18"/>
          <w:szCs w:val="18"/>
        </w:rPr>
        <w:t>情况目录》填报。</w:t>
      </w:r>
    </w:p>
    <w:p>
      <w:pPr>
        <w:snapToGrid w:val="0"/>
        <w:spacing w:line="280" w:lineRule="exact"/>
        <w:ind w:left="663" w:leftChars="256" w:hanging="125" w:hangingChars="70"/>
        <w:rPr>
          <w:sz w:val="18"/>
        </w:rPr>
      </w:pPr>
      <w:r>
        <w:rPr>
          <w:rFonts w:ascii="宋体" w:hAnsi="宋体" w:cs="宋体"/>
          <w:sz w:val="18"/>
          <w:szCs w:val="18"/>
        </w:rPr>
        <w:t>4.</w:t>
      </w:r>
      <w:r>
        <w:rPr>
          <w:rFonts w:ascii="宋体" w:hAnsi="宋体"/>
          <w:sz w:val="18"/>
        </w:rPr>
        <w:t>本</w:t>
      </w:r>
      <w:r>
        <w:rPr>
          <w:rFonts w:hint="eastAsia" w:ascii="宋体" w:hAnsi="宋体"/>
          <w:sz w:val="18"/>
        </w:rPr>
        <w:t>表中“上年同期”数据统一由国家统计局在数据处理软件中复制，调查单位和各级统计机构原则上不得修改；</w:t>
      </w:r>
    </w:p>
    <w:p>
      <w:pPr>
        <w:snapToGrid w:val="0"/>
        <w:spacing w:line="280" w:lineRule="exact"/>
        <w:ind w:left="844" w:leftChars="256" w:hanging="306" w:hangingChars="170"/>
        <w:rPr>
          <w:sz w:val="18"/>
        </w:rPr>
      </w:pPr>
      <w:r>
        <w:rPr>
          <w:rFonts w:hint="eastAsia"/>
          <w:sz w:val="18"/>
        </w:rPr>
        <w:t xml:space="preserve">  </w:t>
      </w:r>
      <w:r>
        <w:rPr>
          <w:rFonts w:hint="eastAsia" w:ascii="宋体" w:hAnsi="宋体"/>
          <w:sz w:val="18"/>
        </w:rPr>
        <w:t>本</w:t>
      </w:r>
      <w:r>
        <w:rPr>
          <w:rFonts w:hint="eastAsia"/>
          <w:sz w:val="18"/>
        </w:rPr>
        <w:t>年新增的调查单位自行填报</w:t>
      </w:r>
      <w:r>
        <w:rPr>
          <w:rFonts w:hint="eastAsia" w:ascii="宋体" w:hAnsi="宋体"/>
          <w:sz w:val="18"/>
        </w:rPr>
        <w:t>“上年同期”</w:t>
      </w:r>
      <w:r>
        <w:rPr>
          <w:rFonts w:hint="eastAsia"/>
          <w:sz w:val="18"/>
        </w:rPr>
        <w:t>数据；涉及兼并、重组等情况的企业，经国家统计局批准后，调查</w:t>
      </w:r>
    </w:p>
    <w:p>
      <w:pPr>
        <w:snapToGrid w:val="0"/>
        <w:spacing w:line="280" w:lineRule="exact"/>
        <w:ind w:left="844" w:leftChars="256" w:hanging="306" w:hangingChars="170"/>
        <w:rPr>
          <w:rFonts w:ascii="宋体" w:hAnsi="宋体" w:cs="宋体"/>
          <w:sz w:val="18"/>
          <w:szCs w:val="18"/>
        </w:rPr>
      </w:pPr>
      <w:r>
        <w:rPr>
          <w:rFonts w:hint="eastAsia" w:ascii="宋体" w:hAnsi="宋体" w:cs="宋体"/>
          <w:sz w:val="18"/>
          <w:szCs w:val="18"/>
        </w:rPr>
        <w:t xml:space="preserve">  </w:t>
      </w:r>
      <w:r>
        <w:rPr>
          <w:rFonts w:hint="eastAsia"/>
          <w:sz w:val="18"/>
        </w:rPr>
        <w:t>单位可调整同期数；本年新增指标的同期数由调查单位自行填报。</w:t>
      </w:r>
    </w:p>
    <w:p>
      <w:pPr>
        <w:spacing w:line="280" w:lineRule="exact"/>
        <w:ind w:firstLine="540" w:firstLineChars="300"/>
        <w:rPr>
          <w:sz w:val="18"/>
          <w:szCs w:val="18"/>
        </w:rPr>
      </w:pPr>
      <w:r>
        <w:rPr>
          <w:rFonts w:ascii="宋体" w:hAnsi="宋体" w:cs="宋体"/>
          <w:sz w:val="18"/>
          <w:szCs w:val="18"/>
        </w:rPr>
        <w:t>5.</w:t>
      </w:r>
      <w:r>
        <w:rPr>
          <w:sz w:val="18"/>
          <w:szCs w:val="18"/>
        </w:rPr>
        <w:t>审核关系：</w:t>
      </w:r>
    </w:p>
    <w:p>
      <w:pPr>
        <w:spacing w:line="280" w:lineRule="exact"/>
        <w:ind w:firstLine="720" w:firstLineChars="400"/>
        <w:rPr>
          <w:sz w:val="18"/>
          <w:szCs w:val="18"/>
        </w:rPr>
      </w:pPr>
      <w:r>
        <w:rPr>
          <w:sz w:val="18"/>
          <w:szCs w:val="18"/>
        </w:rPr>
        <w:t>指标值=子项值/母项值×单位换算系数</w:t>
      </w:r>
    </w:p>
    <w:p>
      <w:pPr>
        <w:snapToGrid w:val="0"/>
        <w:spacing w:beforeLines="100" w:afterLines="100"/>
        <w:jc w:val="center"/>
        <w:outlineLvl w:val="2"/>
        <w:rPr>
          <w:sz w:val="32"/>
        </w:rPr>
      </w:pPr>
      <w:r>
        <w:rPr>
          <w:sz w:val="32"/>
          <w:szCs w:val="32"/>
        </w:rPr>
        <w:br w:type="page"/>
      </w:r>
      <w:r>
        <w:rPr>
          <w:sz w:val="32"/>
        </w:rPr>
        <w:t>工业企业用水情况</w:t>
      </w:r>
    </w:p>
    <w:tbl>
      <w:tblPr>
        <w:tblStyle w:val="25"/>
        <w:tblW w:w="9462" w:type="dxa"/>
        <w:jc w:val="center"/>
        <w:tblInd w:w="1575" w:type="dxa"/>
        <w:tblLayout w:type="fixed"/>
        <w:tblCellMar>
          <w:top w:w="0" w:type="dxa"/>
          <w:left w:w="0" w:type="dxa"/>
          <w:bottom w:w="0" w:type="dxa"/>
          <w:right w:w="0" w:type="dxa"/>
        </w:tblCellMar>
      </w:tblPr>
      <w:tblGrid>
        <w:gridCol w:w="2871"/>
        <w:gridCol w:w="420"/>
        <w:gridCol w:w="3646"/>
        <w:gridCol w:w="868"/>
        <w:gridCol w:w="1657"/>
      </w:tblGrid>
      <w:tr>
        <w:tblPrEx>
          <w:tblLayout w:type="fixed"/>
          <w:tblCellMar>
            <w:top w:w="0" w:type="dxa"/>
            <w:left w:w="0" w:type="dxa"/>
            <w:bottom w:w="0" w:type="dxa"/>
            <w:right w:w="0" w:type="dxa"/>
          </w:tblCellMar>
        </w:tblPrEx>
        <w:trPr>
          <w:jc w:val="center"/>
        </w:trPr>
        <w:tc>
          <w:tcPr>
            <w:tcW w:w="2871" w:type="dxa"/>
          </w:tcPr>
          <w:p>
            <w:pPr>
              <w:spacing w:line="260" w:lineRule="exact"/>
              <w:rPr>
                <w:sz w:val="18"/>
                <w:szCs w:val="18"/>
              </w:rPr>
            </w:pPr>
          </w:p>
        </w:tc>
        <w:tc>
          <w:tcPr>
            <w:tcW w:w="420" w:type="dxa"/>
          </w:tcPr>
          <w:p>
            <w:pPr>
              <w:spacing w:line="260" w:lineRule="exact"/>
              <w:rPr>
                <w:sz w:val="18"/>
                <w:szCs w:val="18"/>
              </w:rPr>
            </w:pPr>
          </w:p>
        </w:tc>
        <w:tc>
          <w:tcPr>
            <w:tcW w:w="3646" w:type="dxa"/>
          </w:tcPr>
          <w:p>
            <w:pPr>
              <w:spacing w:line="260" w:lineRule="exact"/>
              <w:rPr>
                <w:sz w:val="18"/>
                <w:szCs w:val="18"/>
              </w:rPr>
            </w:pPr>
          </w:p>
        </w:tc>
        <w:tc>
          <w:tcPr>
            <w:tcW w:w="868" w:type="dxa"/>
            <w:tcMar>
              <w:left w:w="0" w:type="dxa"/>
              <w:right w:w="0" w:type="dxa"/>
            </w:tcMar>
          </w:tcPr>
          <w:p>
            <w:pPr>
              <w:spacing w:line="260" w:lineRule="exact"/>
              <w:rPr>
                <w:sz w:val="18"/>
                <w:szCs w:val="18"/>
              </w:rPr>
            </w:pPr>
            <w:r>
              <w:rPr>
                <w:sz w:val="18"/>
                <w:szCs w:val="18"/>
              </w:rPr>
              <w:t>表    号：</w:t>
            </w:r>
          </w:p>
        </w:tc>
        <w:tc>
          <w:tcPr>
            <w:tcW w:w="1657" w:type="dxa"/>
            <w:vAlign w:val="center"/>
          </w:tcPr>
          <w:p>
            <w:pPr>
              <w:spacing w:line="260" w:lineRule="exact"/>
              <w:jc w:val="distribute"/>
              <w:rPr>
                <w:spacing w:val="-2"/>
                <w:kern w:val="0"/>
                <w:sz w:val="18"/>
                <w:szCs w:val="18"/>
              </w:rPr>
            </w:pPr>
            <w:r>
              <w:rPr>
                <w:spacing w:val="-2"/>
                <w:kern w:val="0"/>
                <w:sz w:val="18"/>
                <w:szCs w:val="18"/>
              </w:rPr>
              <w:t>２０５－４表</w:t>
            </w:r>
          </w:p>
        </w:tc>
      </w:tr>
      <w:tr>
        <w:tblPrEx>
          <w:tblLayout w:type="fixed"/>
          <w:tblCellMar>
            <w:top w:w="0" w:type="dxa"/>
            <w:left w:w="0" w:type="dxa"/>
            <w:bottom w:w="0" w:type="dxa"/>
            <w:right w:w="0" w:type="dxa"/>
          </w:tblCellMar>
        </w:tblPrEx>
        <w:trPr>
          <w:jc w:val="center"/>
        </w:trPr>
        <w:tc>
          <w:tcPr>
            <w:tcW w:w="6937" w:type="dxa"/>
            <w:gridSpan w:val="3"/>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868" w:type="dxa"/>
            <w:tcMar>
              <w:left w:w="0" w:type="dxa"/>
              <w:right w:w="0" w:type="dxa"/>
            </w:tcMar>
            <w:vAlign w:val="center"/>
          </w:tcPr>
          <w:p>
            <w:pPr>
              <w:spacing w:line="260" w:lineRule="exact"/>
              <w:rPr>
                <w:sz w:val="18"/>
                <w:szCs w:val="18"/>
              </w:rPr>
            </w:pPr>
            <w:r>
              <w:rPr>
                <w:sz w:val="18"/>
                <w:szCs w:val="18"/>
              </w:rPr>
              <w:t>制定机关：</w:t>
            </w:r>
          </w:p>
        </w:tc>
        <w:tc>
          <w:tcPr>
            <w:tcW w:w="1657" w:type="dxa"/>
            <w:vAlign w:val="center"/>
          </w:tcPr>
          <w:p>
            <w:pPr>
              <w:spacing w:line="260" w:lineRule="exact"/>
              <w:jc w:val="distribute"/>
              <w:rPr>
                <w:spacing w:val="-2"/>
                <w:kern w:val="0"/>
                <w:sz w:val="18"/>
                <w:szCs w:val="18"/>
              </w:rPr>
            </w:pPr>
            <w:r>
              <w:rPr>
                <w:spacing w:val="-2"/>
                <w:kern w:val="0"/>
                <w:sz w:val="18"/>
                <w:szCs w:val="18"/>
              </w:rPr>
              <w:t>国 家 统 计 局</w:t>
            </w:r>
          </w:p>
        </w:tc>
      </w:tr>
      <w:tr>
        <w:tblPrEx>
          <w:tblLayout w:type="fixed"/>
          <w:tblCellMar>
            <w:top w:w="0" w:type="dxa"/>
            <w:left w:w="0" w:type="dxa"/>
            <w:bottom w:w="0" w:type="dxa"/>
            <w:right w:w="0" w:type="dxa"/>
          </w:tblCellMar>
        </w:tblPrEx>
        <w:trPr>
          <w:jc w:val="center"/>
        </w:trPr>
        <w:tc>
          <w:tcPr>
            <w:tcW w:w="6937" w:type="dxa"/>
            <w:gridSpan w:val="3"/>
          </w:tcPr>
          <w:p>
            <w:pPr>
              <w:spacing w:line="260" w:lineRule="exac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868" w:type="dxa"/>
            <w:tcMar>
              <w:left w:w="0" w:type="dxa"/>
              <w:right w:w="0" w:type="dxa"/>
            </w:tcMar>
            <w:vAlign w:val="center"/>
          </w:tcPr>
          <w:p>
            <w:pPr>
              <w:spacing w:line="260" w:lineRule="exact"/>
              <w:rPr>
                <w:sz w:val="18"/>
                <w:szCs w:val="18"/>
              </w:rPr>
            </w:pPr>
            <w:r>
              <w:rPr>
                <w:sz w:val="18"/>
                <w:szCs w:val="18"/>
              </w:rPr>
              <w:t>文    号：</w:t>
            </w:r>
          </w:p>
        </w:tc>
        <w:tc>
          <w:tcPr>
            <w:tcW w:w="1657" w:type="dxa"/>
            <w:vAlign w:val="center"/>
          </w:tcPr>
          <w:p>
            <w:pPr>
              <w:spacing w:line="260" w:lineRule="exact"/>
              <w:jc w:val="distribute"/>
              <w:rPr>
                <w:spacing w:val="-2"/>
                <w:kern w:val="0"/>
                <w:sz w:val="18"/>
                <w:szCs w:val="18"/>
              </w:rPr>
            </w:pPr>
            <w:r>
              <w:rPr>
                <w:rFonts w:hint="eastAsia" w:ascii="宋体" w:hAnsi="宋体"/>
                <w:spacing w:val="-2"/>
                <w:kern w:val="0"/>
                <w:sz w:val="18"/>
                <w:szCs w:val="18"/>
              </w:rPr>
              <w:t>国统字〔2020〕105号</w:t>
            </w:r>
          </w:p>
        </w:tc>
      </w:tr>
      <w:tr>
        <w:tblPrEx>
          <w:tblLayout w:type="fixed"/>
          <w:tblCellMar>
            <w:top w:w="0" w:type="dxa"/>
            <w:left w:w="0" w:type="dxa"/>
            <w:bottom w:w="0" w:type="dxa"/>
            <w:right w:w="0" w:type="dxa"/>
          </w:tblCellMar>
        </w:tblPrEx>
        <w:trPr>
          <w:jc w:val="center"/>
        </w:trPr>
        <w:tc>
          <w:tcPr>
            <w:tcW w:w="2871" w:type="dxa"/>
          </w:tcPr>
          <w:p>
            <w:pPr>
              <w:spacing w:line="260" w:lineRule="exact"/>
              <w:rPr>
                <w:sz w:val="18"/>
                <w:szCs w:val="18"/>
              </w:rPr>
            </w:pPr>
            <w:r>
              <w:rPr>
                <w:sz w:val="18"/>
              </w:rPr>
              <w:t>单位详细名称：</w:t>
            </w:r>
          </w:p>
        </w:tc>
        <w:tc>
          <w:tcPr>
            <w:tcW w:w="420" w:type="dxa"/>
          </w:tcPr>
          <w:p>
            <w:pPr>
              <w:spacing w:line="260" w:lineRule="exact"/>
              <w:rPr>
                <w:sz w:val="18"/>
                <w:szCs w:val="18"/>
              </w:rPr>
            </w:pPr>
          </w:p>
        </w:tc>
        <w:tc>
          <w:tcPr>
            <w:tcW w:w="3646" w:type="dxa"/>
          </w:tcPr>
          <w:p>
            <w:pPr>
              <w:spacing w:line="260" w:lineRule="exact"/>
              <w:rPr>
                <w:sz w:val="18"/>
                <w:szCs w:val="18"/>
              </w:rPr>
            </w:pPr>
            <w:r>
              <w:rPr>
                <w:sz w:val="18"/>
                <w:szCs w:val="18"/>
              </w:rPr>
              <w:t>２０　　年 １－　月</w:t>
            </w:r>
          </w:p>
        </w:tc>
        <w:tc>
          <w:tcPr>
            <w:tcW w:w="868" w:type="dxa"/>
            <w:tcMar>
              <w:left w:w="0" w:type="dxa"/>
              <w:right w:w="0" w:type="dxa"/>
            </w:tcMar>
            <w:vAlign w:val="center"/>
          </w:tcPr>
          <w:p>
            <w:pPr>
              <w:spacing w:line="260" w:lineRule="exact"/>
              <w:rPr>
                <w:sz w:val="18"/>
                <w:szCs w:val="18"/>
              </w:rPr>
            </w:pPr>
            <w:r>
              <w:rPr>
                <w:sz w:val="18"/>
                <w:szCs w:val="18"/>
              </w:rPr>
              <w:t>有效期至：</w:t>
            </w:r>
          </w:p>
        </w:tc>
        <w:tc>
          <w:tcPr>
            <w:tcW w:w="1657" w:type="dxa"/>
            <w:vAlign w:val="center"/>
          </w:tcPr>
          <w:p>
            <w:pPr>
              <w:spacing w:line="260" w:lineRule="exact"/>
              <w:jc w:val="distribute"/>
              <w:rPr>
                <w:spacing w:val="-2"/>
                <w:kern w:val="0"/>
                <w:sz w:val="18"/>
                <w:szCs w:val="18"/>
              </w:rPr>
            </w:pPr>
            <w:r>
              <w:rPr>
                <w:spacing w:val="-2"/>
                <w:kern w:val="0"/>
                <w:sz w:val="18"/>
                <w:szCs w:val="18"/>
              </w:rPr>
              <w:t>２０２２年１月</w:t>
            </w:r>
          </w:p>
        </w:tc>
      </w:tr>
    </w:tbl>
    <w:p>
      <w:pPr>
        <w:spacing w:line="20" w:lineRule="exact"/>
      </w:pPr>
    </w:p>
    <w:tbl>
      <w:tblPr>
        <w:tblStyle w:val="25"/>
        <w:tblW w:w="9529" w:type="dxa"/>
        <w:jc w:val="center"/>
        <w:tblInd w:w="4715" w:type="dxa"/>
        <w:tblLayout w:type="fixed"/>
        <w:tblCellMar>
          <w:top w:w="0" w:type="dxa"/>
          <w:left w:w="108" w:type="dxa"/>
          <w:bottom w:w="0" w:type="dxa"/>
          <w:right w:w="108" w:type="dxa"/>
        </w:tblCellMar>
      </w:tblPr>
      <w:tblGrid>
        <w:gridCol w:w="2554"/>
        <w:gridCol w:w="1146"/>
        <w:gridCol w:w="810"/>
        <w:gridCol w:w="1253"/>
        <w:gridCol w:w="1253"/>
        <w:gridCol w:w="1250"/>
        <w:gridCol w:w="1263"/>
      </w:tblGrid>
      <w:tr>
        <w:tblPrEx>
          <w:tblLayout w:type="fixed"/>
          <w:tblCellMar>
            <w:top w:w="0" w:type="dxa"/>
            <w:left w:w="108" w:type="dxa"/>
            <w:bottom w:w="0" w:type="dxa"/>
            <w:right w:w="108" w:type="dxa"/>
          </w:tblCellMar>
        </w:tblPrEx>
        <w:trPr>
          <w:trHeight w:val="285" w:hRule="atLeast"/>
          <w:jc w:val="center"/>
        </w:trPr>
        <w:tc>
          <w:tcPr>
            <w:tcW w:w="2554" w:type="dxa"/>
            <w:vMerge w:val="restart"/>
            <w:tcBorders>
              <w:top w:val="single" w:color="auto" w:sz="8" w:space="0"/>
              <w:left w:val="nil"/>
              <w:bottom w:val="single" w:color="auto" w:sz="2" w:space="0"/>
              <w:right w:val="single" w:color="auto" w:sz="2" w:space="0"/>
            </w:tcBorders>
            <w:vAlign w:val="center"/>
          </w:tcPr>
          <w:p>
            <w:pPr>
              <w:widowControl/>
              <w:jc w:val="center"/>
              <w:rPr>
                <w:kern w:val="0"/>
                <w:sz w:val="18"/>
                <w:szCs w:val="18"/>
              </w:rPr>
            </w:pPr>
            <w:r>
              <w:rPr>
                <w:kern w:val="0"/>
                <w:sz w:val="18"/>
                <w:szCs w:val="18"/>
              </w:rPr>
              <w:t>指标名称</w:t>
            </w:r>
          </w:p>
        </w:tc>
        <w:tc>
          <w:tcPr>
            <w:tcW w:w="1146" w:type="dxa"/>
            <w:vMerge w:val="restart"/>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计量单位</w:t>
            </w:r>
          </w:p>
        </w:tc>
        <w:tc>
          <w:tcPr>
            <w:tcW w:w="810" w:type="dxa"/>
            <w:vMerge w:val="restart"/>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代码</w:t>
            </w:r>
          </w:p>
        </w:tc>
        <w:tc>
          <w:tcPr>
            <w:tcW w:w="2506" w:type="dxa"/>
            <w:gridSpan w:val="2"/>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取水量</w:t>
            </w:r>
          </w:p>
        </w:tc>
        <w:tc>
          <w:tcPr>
            <w:tcW w:w="2513" w:type="dxa"/>
            <w:gridSpan w:val="2"/>
            <w:tcBorders>
              <w:top w:val="single" w:color="auto" w:sz="8" w:space="0"/>
              <w:left w:val="single" w:color="auto" w:sz="2" w:space="0"/>
              <w:bottom w:val="single" w:color="auto" w:sz="2" w:space="0"/>
              <w:right w:val="nil"/>
            </w:tcBorders>
            <w:vAlign w:val="center"/>
          </w:tcPr>
          <w:p>
            <w:pPr>
              <w:widowControl/>
              <w:jc w:val="center"/>
              <w:rPr>
                <w:kern w:val="0"/>
                <w:sz w:val="18"/>
                <w:szCs w:val="18"/>
              </w:rPr>
            </w:pPr>
            <w:r>
              <w:rPr>
                <w:kern w:val="0"/>
                <w:sz w:val="18"/>
                <w:szCs w:val="18"/>
              </w:rPr>
              <w:t>外供水量</w:t>
            </w:r>
          </w:p>
        </w:tc>
      </w:tr>
      <w:tr>
        <w:tblPrEx>
          <w:tblLayout w:type="fixed"/>
          <w:tblCellMar>
            <w:top w:w="0" w:type="dxa"/>
            <w:left w:w="108" w:type="dxa"/>
            <w:bottom w:w="0" w:type="dxa"/>
            <w:right w:w="108" w:type="dxa"/>
          </w:tblCellMar>
        </w:tblPrEx>
        <w:trPr>
          <w:trHeight w:val="285" w:hRule="atLeast"/>
          <w:jc w:val="center"/>
        </w:trPr>
        <w:tc>
          <w:tcPr>
            <w:tcW w:w="2554" w:type="dxa"/>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kern w:val="0"/>
                <w:sz w:val="18"/>
                <w:szCs w:val="18"/>
              </w:rPr>
            </w:pPr>
          </w:p>
        </w:tc>
        <w:tc>
          <w:tcPr>
            <w:tcW w:w="1146"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810"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12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本期</w:t>
            </w:r>
          </w:p>
        </w:tc>
        <w:tc>
          <w:tcPr>
            <w:tcW w:w="1253" w:type="dxa"/>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center"/>
              <w:rPr>
                <w:kern w:val="0"/>
                <w:sz w:val="18"/>
                <w:szCs w:val="18"/>
              </w:rPr>
            </w:pPr>
            <w:r>
              <w:rPr>
                <w:kern w:val="0"/>
                <w:sz w:val="18"/>
                <w:szCs w:val="18"/>
              </w:rPr>
              <w:t>上年同期</w:t>
            </w:r>
          </w:p>
        </w:tc>
        <w:tc>
          <w:tcPr>
            <w:tcW w:w="12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本期</w:t>
            </w:r>
          </w:p>
        </w:tc>
        <w:tc>
          <w:tcPr>
            <w:tcW w:w="1263" w:type="dxa"/>
            <w:tcBorders>
              <w:top w:val="single" w:color="auto" w:sz="2" w:space="0"/>
              <w:left w:val="single" w:color="auto" w:sz="2" w:space="0"/>
              <w:bottom w:val="single" w:color="auto" w:sz="2" w:space="0"/>
              <w:right w:val="nil"/>
            </w:tcBorders>
            <w:shd w:val="clear" w:color="auto" w:fill="D9D9D9"/>
            <w:vAlign w:val="center"/>
          </w:tcPr>
          <w:p>
            <w:pPr>
              <w:widowControl/>
              <w:jc w:val="center"/>
              <w:rPr>
                <w:kern w:val="0"/>
                <w:sz w:val="18"/>
                <w:szCs w:val="18"/>
              </w:rPr>
            </w:pPr>
            <w:r>
              <w:rPr>
                <w:kern w:val="0"/>
                <w:sz w:val="18"/>
                <w:szCs w:val="18"/>
              </w:rPr>
              <w:t>上年同期</w:t>
            </w:r>
          </w:p>
        </w:tc>
      </w:tr>
      <w:tr>
        <w:tblPrEx>
          <w:tblLayout w:type="fixed"/>
          <w:tblCellMar>
            <w:top w:w="0" w:type="dxa"/>
            <w:left w:w="0" w:type="dxa"/>
            <w:bottom w:w="0" w:type="dxa"/>
            <w:right w:w="0" w:type="dxa"/>
          </w:tblCellMar>
        </w:tblPrEx>
        <w:trPr>
          <w:trHeight w:val="306" w:hRule="atLeast"/>
          <w:jc w:val="center"/>
        </w:trPr>
        <w:tc>
          <w:tcPr>
            <w:tcW w:w="2554"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甲</w:t>
            </w:r>
          </w:p>
        </w:tc>
        <w:tc>
          <w:tcPr>
            <w:tcW w:w="11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乙</w:t>
            </w:r>
          </w:p>
        </w:tc>
        <w:tc>
          <w:tcPr>
            <w:tcW w:w="81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丙</w:t>
            </w:r>
          </w:p>
        </w:tc>
        <w:tc>
          <w:tcPr>
            <w:tcW w:w="12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line="240" w:lineRule="exact"/>
              <w:jc w:val="center"/>
              <w:textAlignment w:val="center"/>
              <w:rPr>
                <w:rFonts w:ascii="宋体" w:hAnsi="宋体" w:cs="宋体"/>
                <w:kern w:val="0"/>
                <w:sz w:val="18"/>
                <w:szCs w:val="18"/>
              </w:rPr>
            </w:pPr>
            <w:r>
              <w:rPr>
                <w:rFonts w:ascii="宋体" w:hAnsi="宋体" w:cs="宋体"/>
                <w:kern w:val="0"/>
                <w:sz w:val="18"/>
                <w:szCs w:val="18"/>
              </w:rPr>
              <w:t>1</w:t>
            </w:r>
          </w:p>
        </w:tc>
        <w:tc>
          <w:tcPr>
            <w:tcW w:w="1253" w:type="dxa"/>
            <w:tcBorders>
              <w:top w:val="single" w:color="auto" w:sz="2" w:space="0"/>
              <w:left w:val="single" w:color="auto" w:sz="2" w:space="0"/>
              <w:bottom w:val="single" w:color="auto" w:sz="2" w:space="0"/>
              <w:right w:val="single" w:color="auto" w:sz="2" w:space="0"/>
            </w:tcBorders>
            <w:shd w:val="clear" w:color="auto" w:fill="D9D9D9"/>
            <w:vAlign w:val="center"/>
          </w:tcPr>
          <w:p>
            <w:pPr>
              <w:widowControl w:val="0"/>
              <w:spacing w:line="240" w:lineRule="exact"/>
              <w:jc w:val="center"/>
              <w:textAlignment w:val="center"/>
              <w:rPr>
                <w:rFonts w:ascii="宋体" w:hAnsi="宋体" w:cs="宋体"/>
                <w:kern w:val="0"/>
                <w:sz w:val="18"/>
                <w:szCs w:val="18"/>
              </w:rPr>
            </w:pPr>
            <w:r>
              <w:rPr>
                <w:rFonts w:ascii="宋体" w:hAnsi="宋体" w:cs="宋体"/>
                <w:kern w:val="0"/>
                <w:sz w:val="18"/>
                <w:szCs w:val="18"/>
              </w:rPr>
              <w:t>2</w:t>
            </w:r>
          </w:p>
        </w:tc>
        <w:tc>
          <w:tcPr>
            <w:tcW w:w="125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line="240" w:lineRule="exact"/>
              <w:jc w:val="center"/>
              <w:textAlignment w:val="center"/>
              <w:rPr>
                <w:rFonts w:ascii="宋体" w:hAnsi="宋体" w:cs="宋体"/>
                <w:kern w:val="0"/>
                <w:sz w:val="18"/>
                <w:szCs w:val="18"/>
              </w:rPr>
            </w:pPr>
            <w:r>
              <w:rPr>
                <w:rFonts w:ascii="宋体" w:hAnsi="宋体" w:cs="宋体"/>
                <w:kern w:val="0"/>
                <w:sz w:val="18"/>
                <w:szCs w:val="18"/>
              </w:rPr>
              <w:t>3</w:t>
            </w:r>
          </w:p>
        </w:tc>
        <w:tc>
          <w:tcPr>
            <w:tcW w:w="1263" w:type="dxa"/>
            <w:tcBorders>
              <w:top w:val="single" w:color="auto" w:sz="2" w:space="0"/>
              <w:left w:val="single" w:color="auto" w:sz="2" w:space="0"/>
              <w:bottom w:val="single" w:color="auto" w:sz="2" w:space="0"/>
              <w:right w:val="nil"/>
            </w:tcBorders>
            <w:shd w:val="clear" w:color="auto" w:fill="D9D9D9"/>
            <w:vAlign w:val="center"/>
          </w:tcPr>
          <w:p>
            <w:pPr>
              <w:widowControl w:val="0"/>
              <w:spacing w:line="240" w:lineRule="exact"/>
              <w:jc w:val="center"/>
              <w:textAlignment w:val="center"/>
              <w:rPr>
                <w:rFonts w:ascii="宋体" w:hAnsi="宋体" w:cs="宋体"/>
                <w:kern w:val="0"/>
                <w:sz w:val="18"/>
                <w:szCs w:val="18"/>
              </w:rPr>
            </w:pPr>
            <w:r>
              <w:rPr>
                <w:rFonts w:ascii="宋体" w:hAnsi="宋体" w:cs="宋体"/>
                <w:kern w:val="0"/>
                <w:sz w:val="18"/>
                <w:szCs w:val="18"/>
              </w:rPr>
              <w:t>4</w:t>
            </w:r>
          </w:p>
        </w:tc>
      </w:tr>
      <w:tr>
        <w:tblPrEx>
          <w:tblLayout w:type="fixed"/>
          <w:tblCellMar>
            <w:top w:w="0" w:type="dxa"/>
            <w:left w:w="108" w:type="dxa"/>
            <w:bottom w:w="0" w:type="dxa"/>
            <w:right w:w="108" w:type="dxa"/>
          </w:tblCellMar>
        </w:tblPrEx>
        <w:trPr>
          <w:trHeight w:val="270" w:hRule="atLeast"/>
          <w:jc w:val="center"/>
        </w:trPr>
        <w:tc>
          <w:tcPr>
            <w:tcW w:w="2554" w:type="dxa"/>
            <w:tcBorders>
              <w:top w:val="single" w:color="auto" w:sz="2" w:space="0"/>
              <w:left w:val="nil"/>
              <w:right w:val="single" w:color="auto" w:sz="2" w:space="0"/>
            </w:tcBorders>
            <w:vAlign w:val="center"/>
          </w:tcPr>
          <w:p>
            <w:pPr>
              <w:widowControl/>
              <w:rPr>
                <w:kern w:val="0"/>
                <w:sz w:val="18"/>
                <w:szCs w:val="18"/>
              </w:rPr>
            </w:pPr>
            <w:r>
              <w:rPr>
                <w:kern w:val="0"/>
                <w:sz w:val="18"/>
                <w:szCs w:val="18"/>
              </w:rPr>
              <w:t>合计</w:t>
            </w:r>
          </w:p>
        </w:tc>
        <w:tc>
          <w:tcPr>
            <w:tcW w:w="1146"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00</w:t>
            </w:r>
          </w:p>
        </w:tc>
        <w:tc>
          <w:tcPr>
            <w:tcW w:w="5019" w:type="dxa"/>
            <w:gridSpan w:val="4"/>
            <w:vMerge w:val="restart"/>
            <w:tcBorders>
              <w:top w:val="single" w:color="auto" w:sz="2" w:space="0"/>
              <w:left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1.地表淡水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01</w:t>
            </w:r>
          </w:p>
        </w:tc>
        <w:tc>
          <w:tcPr>
            <w:tcW w:w="5019" w:type="dxa"/>
            <w:gridSpan w:val="4"/>
            <w:vMerge w:val="continue"/>
            <w:tcBorders>
              <w:left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2.地下淡水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02</w:t>
            </w:r>
          </w:p>
        </w:tc>
        <w:tc>
          <w:tcPr>
            <w:tcW w:w="5019" w:type="dxa"/>
            <w:gridSpan w:val="4"/>
            <w:vMerge w:val="continue"/>
            <w:tcBorders>
              <w:left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3.自来水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03</w:t>
            </w:r>
          </w:p>
        </w:tc>
        <w:tc>
          <w:tcPr>
            <w:tcW w:w="5019" w:type="dxa"/>
            <w:gridSpan w:val="4"/>
            <w:vMerge w:val="continue"/>
            <w:tcBorders>
              <w:left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4.海水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04</w:t>
            </w:r>
          </w:p>
        </w:tc>
        <w:tc>
          <w:tcPr>
            <w:tcW w:w="5019" w:type="dxa"/>
            <w:gridSpan w:val="4"/>
            <w:vMerge w:val="continue"/>
            <w:tcBorders>
              <w:left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5.陆地苦咸水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05</w:t>
            </w:r>
          </w:p>
        </w:tc>
        <w:tc>
          <w:tcPr>
            <w:tcW w:w="5019" w:type="dxa"/>
            <w:gridSpan w:val="4"/>
            <w:vMerge w:val="continue"/>
            <w:tcBorders>
              <w:left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6.矿井水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06</w:t>
            </w:r>
          </w:p>
        </w:tc>
        <w:tc>
          <w:tcPr>
            <w:tcW w:w="5019" w:type="dxa"/>
            <w:gridSpan w:val="4"/>
            <w:vMerge w:val="continue"/>
            <w:tcBorders>
              <w:left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7.雨水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07</w:t>
            </w:r>
          </w:p>
        </w:tc>
        <w:tc>
          <w:tcPr>
            <w:tcW w:w="5019" w:type="dxa"/>
            <w:gridSpan w:val="4"/>
            <w:vMerge w:val="continue"/>
            <w:tcBorders>
              <w:left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8.再生水（中水）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08</w:t>
            </w:r>
          </w:p>
        </w:tc>
        <w:tc>
          <w:tcPr>
            <w:tcW w:w="5019" w:type="dxa"/>
            <w:gridSpan w:val="4"/>
            <w:vMerge w:val="continue"/>
            <w:tcBorders>
              <w:left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9.海水淡化水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09</w:t>
            </w:r>
          </w:p>
        </w:tc>
        <w:tc>
          <w:tcPr>
            <w:tcW w:w="5019" w:type="dxa"/>
            <w:gridSpan w:val="4"/>
            <w:vMerge w:val="continue"/>
            <w:tcBorders>
              <w:left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85" w:hRule="atLeast"/>
          <w:jc w:val="center"/>
        </w:trPr>
        <w:tc>
          <w:tcPr>
            <w:tcW w:w="2554" w:type="dxa"/>
            <w:tcBorders>
              <w:left w:val="nil"/>
              <w:bottom w:val="single" w:color="auto" w:sz="2" w:space="0"/>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10.其他水</w:t>
            </w:r>
          </w:p>
        </w:tc>
        <w:tc>
          <w:tcPr>
            <w:tcW w:w="1146" w:type="dxa"/>
            <w:tcBorders>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5019" w:type="dxa"/>
            <w:gridSpan w:val="4"/>
            <w:vMerge w:val="continue"/>
            <w:tcBorders>
              <w:left w:val="single" w:color="auto" w:sz="2" w:space="0"/>
              <w:bottom w:val="single" w:color="auto" w:sz="2"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85" w:hRule="atLeast"/>
          <w:jc w:val="center"/>
        </w:trPr>
        <w:tc>
          <w:tcPr>
            <w:tcW w:w="9529" w:type="dxa"/>
            <w:gridSpan w:val="7"/>
            <w:tcBorders>
              <w:top w:val="single" w:color="auto" w:sz="2" w:space="0"/>
              <w:left w:val="nil"/>
              <w:bottom w:val="single" w:color="auto" w:sz="2" w:space="0"/>
              <w:right w:val="nil"/>
            </w:tcBorders>
            <w:vAlign w:val="center"/>
          </w:tcPr>
          <w:p>
            <w:pPr>
              <w:widowControl/>
              <w:jc w:val="center"/>
              <w:rPr>
                <w:kern w:val="0"/>
                <w:sz w:val="18"/>
                <w:szCs w:val="18"/>
              </w:rPr>
            </w:pPr>
            <w:r>
              <w:rPr>
                <w:kern w:val="0"/>
                <w:sz w:val="18"/>
                <w:szCs w:val="18"/>
              </w:rPr>
              <w:t>补充指标</w:t>
            </w:r>
          </w:p>
        </w:tc>
      </w:tr>
      <w:tr>
        <w:tblPrEx>
          <w:tblLayout w:type="fixed"/>
          <w:tblCellMar>
            <w:top w:w="0" w:type="dxa"/>
            <w:left w:w="108" w:type="dxa"/>
            <w:bottom w:w="0" w:type="dxa"/>
            <w:right w:w="108" w:type="dxa"/>
          </w:tblCellMar>
        </w:tblPrEx>
        <w:trPr>
          <w:trHeight w:val="285" w:hRule="atLeast"/>
          <w:jc w:val="center"/>
        </w:trPr>
        <w:tc>
          <w:tcPr>
            <w:tcW w:w="2554" w:type="dxa"/>
            <w:tcBorders>
              <w:top w:val="single" w:color="auto" w:sz="2" w:space="0"/>
              <w:left w:val="nil"/>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指标名称</w:t>
            </w:r>
          </w:p>
        </w:tc>
        <w:tc>
          <w:tcPr>
            <w:tcW w:w="11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计量单位</w:t>
            </w:r>
          </w:p>
        </w:tc>
        <w:tc>
          <w:tcPr>
            <w:tcW w:w="81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代码</w:t>
            </w:r>
          </w:p>
        </w:tc>
        <w:tc>
          <w:tcPr>
            <w:tcW w:w="250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本期</w:t>
            </w:r>
          </w:p>
        </w:tc>
        <w:tc>
          <w:tcPr>
            <w:tcW w:w="2513" w:type="dxa"/>
            <w:gridSpan w:val="2"/>
            <w:tcBorders>
              <w:top w:val="single" w:color="auto" w:sz="2" w:space="0"/>
              <w:left w:val="single" w:color="auto" w:sz="2" w:space="0"/>
              <w:bottom w:val="single" w:color="auto" w:sz="2" w:space="0"/>
              <w:right w:val="nil"/>
            </w:tcBorders>
            <w:shd w:val="clear" w:color="auto" w:fill="D9D9D9"/>
            <w:vAlign w:val="center"/>
          </w:tcPr>
          <w:p>
            <w:pPr>
              <w:widowControl/>
              <w:jc w:val="center"/>
              <w:rPr>
                <w:kern w:val="0"/>
                <w:sz w:val="18"/>
                <w:szCs w:val="18"/>
              </w:rPr>
            </w:pPr>
            <w:r>
              <w:rPr>
                <w:kern w:val="0"/>
                <w:sz w:val="18"/>
                <w:szCs w:val="18"/>
              </w:rPr>
              <w:t>上年同期</w:t>
            </w:r>
          </w:p>
        </w:tc>
      </w:tr>
      <w:tr>
        <w:tblPrEx>
          <w:tblLayout w:type="fixed"/>
          <w:tblCellMar>
            <w:top w:w="0" w:type="dxa"/>
            <w:left w:w="108" w:type="dxa"/>
            <w:bottom w:w="0" w:type="dxa"/>
            <w:right w:w="108" w:type="dxa"/>
          </w:tblCellMar>
        </w:tblPrEx>
        <w:trPr>
          <w:trHeight w:val="306" w:hRule="atLeast"/>
          <w:jc w:val="center"/>
        </w:trPr>
        <w:tc>
          <w:tcPr>
            <w:tcW w:w="2554" w:type="dxa"/>
            <w:tcBorders>
              <w:top w:val="single" w:color="auto" w:sz="2" w:space="0"/>
              <w:left w:val="nil"/>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甲</w:t>
            </w:r>
          </w:p>
        </w:tc>
        <w:tc>
          <w:tcPr>
            <w:tcW w:w="114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乙</w:t>
            </w:r>
          </w:p>
        </w:tc>
        <w:tc>
          <w:tcPr>
            <w:tcW w:w="81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丙</w:t>
            </w:r>
          </w:p>
        </w:tc>
        <w:tc>
          <w:tcPr>
            <w:tcW w:w="2506"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line="240" w:lineRule="exact"/>
              <w:jc w:val="center"/>
              <w:textAlignment w:val="center"/>
              <w:rPr>
                <w:rFonts w:ascii="宋体" w:hAnsi="宋体" w:cs="宋体"/>
                <w:kern w:val="0"/>
                <w:sz w:val="18"/>
                <w:szCs w:val="18"/>
              </w:rPr>
            </w:pPr>
            <w:r>
              <w:rPr>
                <w:rFonts w:ascii="宋体" w:hAnsi="宋体" w:cs="宋体"/>
                <w:kern w:val="0"/>
                <w:sz w:val="18"/>
                <w:szCs w:val="18"/>
              </w:rPr>
              <w:t>1</w:t>
            </w:r>
          </w:p>
        </w:tc>
        <w:tc>
          <w:tcPr>
            <w:tcW w:w="2513" w:type="dxa"/>
            <w:gridSpan w:val="2"/>
            <w:tcBorders>
              <w:top w:val="single" w:color="auto" w:sz="2" w:space="0"/>
              <w:left w:val="single" w:color="auto" w:sz="2" w:space="0"/>
              <w:bottom w:val="single" w:color="auto" w:sz="2" w:space="0"/>
              <w:right w:val="nil"/>
            </w:tcBorders>
            <w:shd w:val="clear" w:color="auto" w:fill="D9D9D9"/>
            <w:vAlign w:val="center"/>
          </w:tcPr>
          <w:p>
            <w:pPr>
              <w:widowControl w:val="0"/>
              <w:spacing w:line="240" w:lineRule="exact"/>
              <w:jc w:val="center"/>
              <w:textAlignment w:val="center"/>
              <w:rPr>
                <w:rFonts w:ascii="宋体" w:hAnsi="宋体" w:cs="宋体"/>
                <w:kern w:val="0"/>
                <w:sz w:val="18"/>
                <w:szCs w:val="18"/>
              </w:rPr>
            </w:pPr>
            <w:r>
              <w:rPr>
                <w:rFonts w:ascii="宋体" w:hAnsi="宋体" w:cs="宋体"/>
                <w:kern w:val="0"/>
                <w:sz w:val="18"/>
                <w:szCs w:val="18"/>
              </w:rPr>
              <w:t>2</w:t>
            </w:r>
          </w:p>
        </w:tc>
      </w:tr>
      <w:tr>
        <w:tblPrEx>
          <w:tblLayout w:type="fixed"/>
          <w:tblCellMar>
            <w:top w:w="0" w:type="dxa"/>
            <w:left w:w="108" w:type="dxa"/>
            <w:bottom w:w="0" w:type="dxa"/>
            <w:right w:w="108" w:type="dxa"/>
          </w:tblCellMar>
        </w:tblPrEx>
        <w:trPr>
          <w:trHeight w:val="270" w:hRule="atLeast"/>
          <w:jc w:val="center"/>
        </w:trPr>
        <w:tc>
          <w:tcPr>
            <w:tcW w:w="2554" w:type="dxa"/>
            <w:tcBorders>
              <w:top w:val="single" w:color="auto" w:sz="2" w:space="0"/>
              <w:left w:val="nil"/>
              <w:right w:val="single" w:color="auto" w:sz="2" w:space="0"/>
            </w:tcBorders>
            <w:vAlign w:val="center"/>
          </w:tcPr>
          <w:p>
            <w:pPr>
              <w:widowControl/>
              <w:rPr>
                <w:kern w:val="0"/>
                <w:sz w:val="18"/>
                <w:szCs w:val="18"/>
              </w:rPr>
            </w:pPr>
            <w:r>
              <w:rPr>
                <w:kern w:val="0"/>
                <w:sz w:val="18"/>
                <w:szCs w:val="18"/>
              </w:rPr>
              <w:t>外排水量</w:t>
            </w:r>
          </w:p>
        </w:tc>
        <w:tc>
          <w:tcPr>
            <w:tcW w:w="1146" w:type="dxa"/>
            <w:tcBorders>
              <w:top w:val="single" w:color="auto" w:sz="2" w:space="0"/>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11</w:t>
            </w:r>
          </w:p>
        </w:tc>
        <w:tc>
          <w:tcPr>
            <w:tcW w:w="5019" w:type="dxa"/>
            <w:gridSpan w:val="4"/>
            <w:vMerge w:val="restart"/>
            <w:tcBorders>
              <w:top w:val="single" w:color="auto" w:sz="2" w:space="0"/>
              <w:left w:val="single" w:color="auto" w:sz="2" w:space="0"/>
            </w:tcBorders>
            <w:vAlign w:val="center"/>
          </w:tcPr>
          <w:p>
            <w:pPr>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kern w:val="0"/>
                <w:sz w:val="18"/>
                <w:szCs w:val="18"/>
              </w:rPr>
            </w:pPr>
            <w:r>
              <w:rPr>
                <w:kern w:val="0"/>
                <w:sz w:val="18"/>
                <w:szCs w:val="18"/>
              </w:rPr>
              <w:t>重复用水量</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12</w:t>
            </w:r>
          </w:p>
        </w:tc>
        <w:tc>
          <w:tcPr>
            <w:tcW w:w="5019" w:type="dxa"/>
            <w:gridSpan w:val="4"/>
            <w:vMerge w:val="continue"/>
            <w:tcBorders>
              <w:left w:val="single" w:color="auto" w:sz="2" w:space="0"/>
            </w:tcBorders>
            <w:vAlign w:val="center"/>
          </w:tcPr>
          <w:p>
            <w:pPr>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kern w:val="0"/>
                <w:sz w:val="18"/>
                <w:szCs w:val="18"/>
              </w:rPr>
            </w:pPr>
            <w:r>
              <w:rPr>
                <w:kern w:val="0"/>
                <w:sz w:val="18"/>
                <w:szCs w:val="18"/>
              </w:rPr>
              <w:t>直流冷却水量（河湖水）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13</w:t>
            </w:r>
          </w:p>
        </w:tc>
        <w:tc>
          <w:tcPr>
            <w:tcW w:w="5019" w:type="dxa"/>
            <w:gridSpan w:val="4"/>
            <w:vMerge w:val="continue"/>
            <w:tcBorders>
              <w:left w:val="single" w:color="auto" w:sz="2" w:space="0"/>
            </w:tcBorders>
            <w:vAlign w:val="center"/>
          </w:tcPr>
          <w:p>
            <w:pPr>
              <w:jc w:val="left"/>
              <w:rPr>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right w:val="single" w:color="auto" w:sz="2" w:space="0"/>
            </w:tcBorders>
            <w:vAlign w:val="center"/>
          </w:tcPr>
          <w:p>
            <w:pPr>
              <w:widowControl/>
              <w:rPr>
                <w:kern w:val="0"/>
                <w:sz w:val="18"/>
                <w:szCs w:val="18"/>
              </w:rPr>
            </w:pPr>
            <w:r>
              <w:rPr>
                <w:kern w:val="0"/>
                <w:sz w:val="18"/>
                <w:szCs w:val="18"/>
              </w:rPr>
              <w:t>直流冷却水量（海水）</w:t>
            </w:r>
          </w:p>
        </w:tc>
        <w:tc>
          <w:tcPr>
            <w:tcW w:w="1146" w:type="dxa"/>
            <w:tcBorders>
              <w:left w:val="single" w:color="auto" w:sz="2"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14</w:t>
            </w:r>
          </w:p>
        </w:tc>
        <w:tc>
          <w:tcPr>
            <w:tcW w:w="5019" w:type="dxa"/>
            <w:gridSpan w:val="4"/>
            <w:vMerge w:val="continue"/>
            <w:tcBorders>
              <w:left w:val="single" w:color="auto" w:sz="2" w:space="0"/>
            </w:tcBorders>
            <w:vAlign w:val="center"/>
          </w:tcPr>
          <w:p>
            <w:pPr>
              <w:jc w:val="left"/>
              <w:rPr>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2554" w:type="dxa"/>
            <w:tcBorders>
              <w:left w:val="nil"/>
              <w:bottom w:val="single" w:color="auto" w:sz="8" w:space="0"/>
              <w:right w:val="single" w:color="auto" w:sz="2" w:space="0"/>
            </w:tcBorders>
            <w:vAlign w:val="center"/>
          </w:tcPr>
          <w:p>
            <w:pPr>
              <w:widowControl/>
              <w:rPr>
                <w:kern w:val="0"/>
                <w:sz w:val="18"/>
                <w:szCs w:val="18"/>
              </w:rPr>
            </w:pPr>
            <w:r>
              <w:rPr>
                <w:kern w:val="0"/>
                <w:sz w:val="18"/>
                <w:szCs w:val="18"/>
              </w:rPr>
              <w:t>污水处理量</w:t>
            </w:r>
          </w:p>
        </w:tc>
        <w:tc>
          <w:tcPr>
            <w:tcW w:w="1146" w:type="dxa"/>
            <w:tcBorders>
              <w:left w:val="single" w:color="auto" w:sz="2" w:space="0"/>
              <w:bottom w:val="single" w:color="auto" w:sz="8" w:space="0"/>
              <w:right w:val="single" w:color="auto" w:sz="2" w:space="0"/>
            </w:tcBorders>
            <w:vAlign w:val="center"/>
          </w:tcPr>
          <w:p>
            <w:pPr>
              <w:widowControl/>
              <w:jc w:val="center"/>
              <w:rPr>
                <w:kern w:val="0"/>
                <w:sz w:val="18"/>
                <w:szCs w:val="18"/>
              </w:rPr>
            </w:pPr>
            <w:r>
              <w:rPr>
                <w:kern w:val="0"/>
                <w:sz w:val="18"/>
                <w:szCs w:val="18"/>
              </w:rPr>
              <w:t>立方米</w:t>
            </w:r>
          </w:p>
        </w:tc>
        <w:tc>
          <w:tcPr>
            <w:tcW w:w="810" w:type="dxa"/>
            <w:tcBorders>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15</w:t>
            </w:r>
          </w:p>
        </w:tc>
        <w:tc>
          <w:tcPr>
            <w:tcW w:w="5019" w:type="dxa"/>
            <w:gridSpan w:val="4"/>
            <w:vMerge w:val="continue"/>
            <w:tcBorders>
              <w:left w:val="single" w:color="auto" w:sz="2" w:space="0"/>
              <w:bottom w:val="single" w:color="auto" w:sz="8" w:space="0"/>
            </w:tcBorders>
            <w:vAlign w:val="center"/>
          </w:tcPr>
          <w:p>
            <w:pPr>
              <w:jc w:val="left"/>
              <w:rPr>
                <w:kern w:val="0"/>
                <w:sz w:val="18"/>
                <w:szCs w:val="18"/>
              </w:rPr>
            </w:pPr>
          </w:p>
        </w:tc>
      </w:tr>
    </w:tbl>
    <w:p>
      <w:pPr>
        <w:widowControl/>
        <w:ind w:left="-168" w:leftChars="-80"/>
        <w:jc w:val="left"/>
        <w:rPr>
          <w:sz w:val="18"/>
          <w:szCs w:val="18"/>
        </w:rPr>
      </w:pPr>
      <w:r>
        <w:rPr>
          <w:rFonts w:hint="eastAsia"/>
          <w:sz w:val="18"/>
          <w:szCs w:val="18"/>
        </w:rPr>
        <w:t xml:space="preserve"> </w:t>
      </w:r>
      <w:r>
        <w:rPr>
          <w:sz w:val="18"/>
          <w:szCs w:val="18"/>
        </w:rPr>
        <w:t>单位负责人：　　    统计负责人：　      　填表人：　</w:t>
      </w:r>
      <w:r>
        <w:rPr>
          <w:rFonts w:hint="eastAsia"/>
          <w:sz w:val="18"/>
          <w:szCs w:val="18"/>
        </w:rPr>
        <w:t xml:space="preserve"> </w:t>
      </w:r>
      <w:r>
        <w:rPr>
          <w:sz w:val="18"/>
          <w:szCs w:val="18"/>
        </w:rPr>
        <w:t xml:space="preserve">　　  联系电话：      </w:t>
      </w:r>
      <w:r>
        <w:rPr>
          <w:rFonts w:hint="eastAsia"/>
          <w:sz w:val="18"/>
          <w:szCs w:val="18"/>
        </w:rPr>
        <w:t xml:space="preserve">      </w:t>
      </w:r>
      <w:r>
        <w:rPr>
          <w:sz w:val="18"/>
          <w:szCs w:val="18"/>
        </w:rPr>
        <w:t>报出日期：２０  年　月  日</w:t>
      </w:r>
    </w:p>
    <w:p>
      <w:pPr>
        <w:rPr>
          <w:b/>
          <w:sz w:val="18"/>
          <w:szCs w:val="18"/>
        </w:rPr>
      </w:pPr>
    </w:p>
    <w:p>
      <w:pPr>
        <w:spacing w:line="280" w:lineRule="exact"/>
        <w:ind w:left="2" w:leftChars="-42" w:hanging="90" w:hangingChars="50"/>
        <w:jc w:val="left"/>
        <w:rPr>
          <w:rFonts w:ascii="宋体" w:hAnsi="宋体" w:cs="宋体"/>
          <w:sz w:val="18"/>
          <w:szCs w:val="18"/>
        </w:rPr>
      </w:pPr>
      <w:r>
        <w:rPr>
          <w:sz w:val="18"/>
          <w:szCs w:val="18"/>
        </w:rPr>
        <w:t>说明：</w:t>
      </w:r>
      <w:r>
        <w:rPr>
          <w:rFonts w:hint="eastAsia" w:ascii="宋体" w:hAnsi="宋体" w:cs="宋体"/>
          <w:sz w:val="18"/>
          <w:szCs w:val="18"/>
        </w:rPr>
        <w:t>1.统计范围：辖区内规模以上工业法人单位。</w:t>
      </w:r>
    </w:p>
    <w:p>
      <w:pPr>
        <w:spacing w:line="280" w:lineRule="exact"/>
        <w:ind w:left="2080" w:leftChars="219" w:right="-153" w:rightChars="-73" w:hanging="1620" w:hangingChars="900"/>
        <w:rPr>
          <w:rFonts w:ascii="宋体" w:hAnsi="宋体" w:cs="宋体"/>
          <w:sz w:val="18"/>
          <w:szCs w:val="18"/>
        </w:rPr>
      </w:pPr>
      <w:r>
        <w:rPr>
          <w:rFonts w:hint="eastAsia" w:ascii="宋体" w:hAnsi="宋体" w:cs="宋体"/>
          <w:sz w:val="18"/>
          <w:szCs w:val="18"/>
        </w:rPr>
        <w:t>2.报送日期及方式：调查单位</w:t>
      </w:r>
      <w:r>
        <w:rPr>
          <w:rFonts w:hint="eastAsia" w:ascii="宋体" w:hAnsi="宋体" w:cs="宋体"/>
          <w:sz w:val="18"/>
          <w:szCs w:val="18"/>
        </w:rPr>
        <w:t>上半年7月9日、下半年次年1月10日12:00</w:t>
      </w:r>
      <w:r>
        <w:rPr>
          <w:rFonts w:hint="eastAsia" w:ascii="宋体" w:hAnsi="宋体" w:cs="宋体"/>
          <w:sz w:val="18"/>
          <w:szCs w:val="18"/>
        </w:rPr>
        <w:t>前</w:t>
      </w:r>
      <w:r>
        <w:rPr>
          <w:rFonts w:hint="eastAsia" w:ascii="宋体" w:hAnsi="宋体" w:cs="宋体"/>
          <w:sz w:val="18"/>
        </w:rPr>
        <w:t>独立自行</w:t>
      </w:r>
      <w:r>
        <w:rPr>
          <w:rFonts w:hint="eastAsia" w:ascii="宋体" w:hAnsi="宋体" w:cs="宋体"/>
          <w:sz w:val="18"/>
          <w:szCs w:val="18"/>
        </w:rPr>
        <w:t>网上填报；</w:t>
      </w:r>
      <w:r>
        <w:rPr>
          <w:rFonts w:hint="eastAsia" w:ascii="宋体" w:hAnsi="宋体" w:cs="宋体"/>
          <w:sz w:val="18"/>
          <w:szCs w:val="18"/>
        </w:rPr>
        <w:t>市</w:t>
      </w:r>
      <w:r>
        <w:rPr>
          <w:rFonts w:hint="eastAsia" w:ascii="宋体" w:hAnsi="宋体" w:cs="宋体"/>
          <w:sz w:val="18"/>
          <w:szCs w:val="18"/>
        </w:rPr>
        <w:t>级统计机构</w:t>
      </w:r>
      <w:r>
        <w:rPr>
          <w:rFonts w:hint="eastAsia" w:ascii="宋体" w:hAnsi="宋体" w:cs="宋体"/>
          <w:sz w:val="18"/>
          <w:szCs w:val="18"/>
        </w:rPr>
        <w:t>上半年7月</w:t>
      </w:r>
      <w:r>
        <w:rPr>
          <w:rFonts w:ascii="宋体" w:hAnsi="宋体" w:cs="宋体"/>
          <w:sz w:val="18"/>
          <w:szCs w:val="18"/>
        </w:rPr>
        <w:t>14</w:t>
      </w:r>
      <w:r>
        <w:rPr>
          <w:rFonts w:hint="eastAsia" w:ascii="宋体" w:hAnsi="宋体" w:cs="宋体"/>
          <w:sz w:val="18"/>
          <w:szCs w:val="18"/>
        </w:rPr>
        <w:t>日、下半年次年1月</w:t>
      </w:r>
      <w:r>
        <w:rPr>
          <w:rFonts w:ascii="宋体" w:hAnsi="宋体" w:cs="宋体"/>
          <w:sz w:val="18"/>
          <w:szCs w:val="18"/>
        </w:rPr>
        <w:t>1</w:t>
      </w:r>
      <w:r>
        <w:rPr>
          <w:rFonts w:hint="eastAsia" w:ascii="宋体" w:hAnsi="宋体" w:cs="宋体"/>
          <w:sz w:val="18"/>
          <w:szCs w:val="18"/>
        </w:rPr>
        <w:t>5日12:00</w:t>
      </w:r>
      <w:r>
        <w:rPr>
          <w:rFonts w:hint="eastAsia" w:ascii="宋体" w:hAnsi="宋体" w:cs="宋体"/>
          <w:sz w:val="18"/>
          <w:szCs w:val="18"/>
        </w:rPr>
        <w:t>前完成数据审核、验收、上报。</w:t>
      </w:r>
    </w:p>
    <w:p>
      <w:pPr>
        <w:spacing w:line="280" w:lineRule="exact"/>
        <w:ind w:left="2060" w:leftChars="220" w:right="-153" w:rightChars="-73" w:hanging="1598" w:hangingChars="888"/>
        <w:rPr>
          <w:rFonts w:ascii="宋体" w:hAnsi="宋体" w:cs="宋体"/>
          <w:sz w:val="18"/>
          <w:szCs w:val="18"/>
        </w:rPr>
      </w:pPr>
      <w:r>
        <w:rPr>
          <w:rFonts w:hint="eastAsia" w:ascii="宋体" w:hAnsi="宋体" w:cs="宋体"/>
          <w:sz w:val="18"/>
          <w:szCs w:val="18"/>
        </w:rPr>
        <w:t>3.本表为半年报，上半年报送1-6月份累计数据，下半年报送1-12月份累计数据。</w:t>
      </w:r>
    </w:p>
    <w:p>
      <w:pPr>
        <w:spacing w:line="280" w:lineRule="exact"/>
        <w:ind w:left="587" w:leftChars="220" w:hanging="125" w:hangingChars="70"/>
        <w:rPr>
          <w:rFonts w:ascii="宋体" w:hAnsi="宋体" w:cs="宋体"/>
          <w:sz w:val="18"/>
          <w:szCs w:val="18"/>
        </w:rPr>
      </w:pPr>
      <w:r>
        <w:rPr>
          <w:rFonts w:hint="eastAsia" w:ascii="宋体" w:hAnsi="宋体" w:cs="宋体"/>
          <w:sz w:val="18"/>
          <w:szCs w:val="18"/>
        </w:rPr>
        <w:t>4.本表中“上年同期”数据统一由国家统计局在数据处理软件中复制，调查单位和各级统计机构原则上不得修改；</w:t>
      </w:r>
    </w:p>
    <w:p>
      <w:pPr>
        <w:spacing w:line="280" w:lineRule="exact"/>
        <w:ind w:left="587" w:leftChars="220" w:hanging="125" w:hangingChars="70"/>
        <w:rPr>
          <w:rFonts w:ascii="宋体" w:hAnsi="宋体" w:cs="宋体"/>
          <w:sz w:val="18"/>
          <w:szCs w:val="18"/>
        </w:rPr>
      </w:pPr>
      <w:r>
        <w:rPr>
          <w:rFonts w:hint="eastAsia" w:ascii="宋体" w:hAnsi="宋体" w:cs="宋体"/>
          <w:sz w:val="18"/>
          <w:szCs w:val="18"/>
        </w:rPr>
        <w:t xml:space="preserve">  本年新增的调查单位自行填报“上年同期”数据；涉及兼并、重组等情况的企业，经国家统计局批准后，调查单</w:t>
      </w:r>
    </w:p>
    <w:p>
      <w:pPr>
        <w:spacing w:line="280" w:lineRule="exact"/>
        <w:ind w:left="0" w:leftChars="0" w:firstLine="630" w:firstLineChars="350"/>
        <w:rPr>
          <w:rFonts w:ascii="宋体" w:hAnsi="宋体" w:cs="宋体"/>
          <w:sz w:val="18"/>
          <w:szCs w:val="18"/>
        </w:rPr>
      </w:pPr>
      <w:r>
        <w:rPr>
          <w:rFonts w:hint="eastAsia" w:ascii="宋体" w:hAnsi="宋体" w:cs="宋体"/>
          <w:sz w:val="18"/>
          <w:szCs w:val="18"/>
        </w:rPr>
        <w:t>位可调整同期数；本年新增指标的同期数由调查单位自行填报。</w:t>
      </w:r>
    </w:p>
    <w:p>
      <w:pPr>
        <w:numPr>
          <w:ilvl w:val="0"/>
          <w:numId w:val="1"/>
        </w:numPr>
        <w:spacing w:line="280" w:lineRule="exact"/>
        <w:ind w:left="462" w:leftChars="220" w:firstLine="0" w:firstLineChars="0"/>
        <w:rPr>
          <w:rFonts w:ascii="宋体" w:hAnsi="宋体" w:cs="宋体"/>
          <w:sz w:val="18"/>
          <w:szCs w:val="18"/>
        </w:rPr>
      </w:pPr>
      <w:r>
        <w:rPr>
          <w:rFonts w:hint="eastAsia" w:ascii="宋体" w:hAnsi="宋体" w:cs="宋体"/>
          <w:sz w:val="18"/>
          <w:szCs w:val="18"/>
        </w:rPr>
        <w:t>审核关系：(1)合计＝地表淡水＋地下淡水＋自来水＋海水＋陆地苦咸水＋矿井水＋雨水＋再生水（中水）＋海</w:t>
      </w:r>
    </w:p>
    <w:p>
      <w:pPr>
        <w:spacing w:line="280" w:lineRule="exact"/>
        <w:ind w:left="0" w:leftChars="0" w:firstLine="2340" w:firstLineChars="1300"/>
        <w:rPr>
          <w:rFonts w:ascii="宋体" w:hAnsi="宋体" w:cs="宋体"/>
          <w:sz w:val="18"/>
          <w:szCs w:val="18"/>
        </w:rPr>
      </w:pPr>
      <w:r>
        <w:rPr>
          <w:rFonts w:hint="eastAsia" w:ascii="宋体" w:hAnsi="宋体" w:cs="宋体"/>
          <w:sz w:val="18"/>
          <w:szCs w:val="18"/>
        </w:rPr>
        <w:t>水淡化水＋其他水</w:t>
      </w:r>
    </w:p>
    <w:p>
      <w:pPr>
        <w:spacing w:line="280" w:lineRule="exact"/>
        <w:ind w:left="0" w:leftChars="0" w:firstLine="1530" w:firstLineChars="850"/>
        <w:rPr>
          <w:rFonts w:ascii="宋体" w:hAnsi="宋体" w:cs="宋体"/>
          <w:sz w:val="18"/>
          <w:szCs w:val="18"/>
        </w:rPr>
      </w:pPr>
      <w:r>
        <w:rPr>
          <w:rFonts w:hint="eastAsia" w:ascii="宋体" w:hAnsi="宋体" w:cs="宋体"/>
          <w:sz w:val="18"/>
          <w:szCs w:val="18"/>
        </w:rPr>
        <w:t>(2)取水量合计＋污水处理量＞外供水量合计＋外排水量</w:t>
      </w:r>
    </w:p>
    <w:p>
      <w:pPr>
        <w:spacing w:line="280" w:lineRule="exact"/>
        <w:ind w:left="732" w:leftChars="220" w:hanging="270" w:hangingChars="150"/>
        <w:rPr>
          <w:rFonts w:ascii="宋体" w:hAnsi="宋体" w:cs="宋体"/>
          <w:sz w:val="18"/>
          <w:szCs w:val="18"/>
        </w:rPr>
      </w:pPr>
      <w:r>
        <w:rPr>
          <w:rFonts w:hint="eastAsia" w:ascii="宋体" w:hAnsi="宋体" w:cs="宋体"/>
          <w:sz w:val="18"/>
          <w:szCs w:val="18"/>
        </w:rPr>
        <w:t>6.企业用新水量说明：</w:t>
      </w:r>
    </w:p>
    <w:p>
      <w:pPr>
        <w:spacing w:line="280" w:lineRule="exact"/>
        <w:ind w:left="1260" w:leftChars="300" w:hanging="630" w:hangingChars="350"/>
        <w:rPr>
          <w:rFonts w:ascii="宋体" w:hAnsi="宋体" w:cs="宋体"/>
          <w:sz w:val="18"/>
          <w:szCs w:val="18"/>
        </w:rPr>
      </w:pPr>
      <w:r>
        <w:rPr>
          <w:rFonts w:hint="eastAsia" w:ascii="宋体" w:hAnsi="宋体" w:cs="宋体"/>
          <w:sz w:val="18"/>
          <w:szCs w:val="18"/>
        </w:rPr>
        <w:t>(1)没有外供水的企业：用新水量＝取水量合计</w:t>
      </w:r>
    </w:p>
    <w:p>
      <w:pPr>
        <w:spacing w:line="280" w:lineRule="exact"/>
        <w:ind w:left="1260" w:leftChars="300" w:hanging="630" w:hangingChars="350"/>
        <w:rPr>
          <w:rFonts w:ascii="宋体" w:hAnsi="宋体" w:cs="宋体"/>
          <w:sz w:val="18"/>
          <w:szCs w:val="18"/>
        </w:rPr>
      </w:pPr>
      <w:r>
        <w:rPr>
          <w:rFonts w:hint="eastAsia" w:ascii="宋体" w:hAnsi="宋体" w:cs="宋体"/>
          <w:sz w:val="18"/>
          <w:szCs w:val="18"/>
        </w:rPr>
        <w:t>(2)有外供水的企业，比如自来水厂、矿泉水生产企业，用新水量＝取水量合计－外供水量合计</w:t>
      </w:r>
    </w:p>
    <w:p>
      <w:pPr>
        <w:spacing w:line="280" w:lineRule="exact"/>
        <w:ind w:left="1260" w:leftChars="300" w:hanging="630" w:hangingChars="350"/>
        <w:rPr>
          <w:rFonts w:ascii="宋体" w:hAnsi="宋体" w:cs="宋体"/>
          <w:sz w:val="18"/>
          <w:szCs w:val="18"/>
        </w:rPr>
      </w:pPr>
      <w:r>
        <w:rPr>
          <w:rFonts w:ascii="宋体" w:hAnsi="宋体" w:cs="宋体"/>
          <w:sz w:val="18"/>
          <w:szCs w:val="18"/>
        </w:rPr>
        <w:t>(3)</w:t>
      </w:r>
      <w:r>
        <w:rPr>
          <w:rFonts w:hint="eastAsia" w:ascii="宋体" w:hAnsi="宋体" w:cs="宋体"/>
          <w:sz w:val="18"/>
          <w:szCs w:val="18"/>
        </w:rPr>
        <w:t>有污水处理设备的企业取水量不包括污水和自用的再生水（中水）</w:t>
      </w:r>
    </w:p>
    <w:p>
      <w:pPr>
        <w:spacing w:line="280" w:lineRule="exact"/>
        <w:ind w:left="462" w:leftChars="220"/>
        <w:rPr>
          <w:rFonts w:ascii="宋体" w:hAnsi="宋体" w:cs="宋体"/>
          <w:sz w:val="18"/>
          <w:szCs w:val="18"/>
        </w:rPr>
      </w:pPr>
      <w:r>
        <w:rPr>
          <w:rFonts w:hint="eastAsia" w:ascii="宋体" w:hAnsi="宋体" w:cs="宋体"/>
          <w:sz w:val="18"/>
          <w:szCs w:val="18"/>
        </w:rPr>
        <w:t>7.用新水量计算说明：汇总国家或地区的用新水量的计算公式如下：</w:t>
      </w:r>
    </w:p>
    <w:p>
      <w:pPr>
        <w:spacing w:line="280" w:lineRule="exact"/>
        <w:ind w:left="0" w:leftChars="0" w:firstLine="646" w:firstLineChars="359"/>
        <w:rPr>
          <w:rFonts w:ascii="宋体" w:hAnsi="宋体" w:cs="宋体"/>
          <w:sz w:val="18"/>
          <w:szCs w:val="18"/>
        </w:rPr>
      </w:pPr>
      <w:r>
        <w:rPr>
          <w:rFonts w:hint="eastAsia" w:ascii="宋体" w:hAnsi="宋体" w:cs="宋体"/>
          <w:sz w:val="18"/>
          <w:szCs w:val="18"/>
        </w:rPr>
        <w:t>用新水量汇总数＝取水量汇总数－外供水量汇总数</w:t>
      </w:r>
    </w:p>
    <w:p>
      <w:pPr>
        <w:spacing w:line="280" w:lineRule="exact"/>
        <w:ind w:left="462" w:leftChars="220"/>
        <w:rPr>
          <w:rFonts w:ascii="宋体" w:hAnsi="宋体" w:cs="宋体"/>
          <w:sz w:val="18"/>
        </w:rPr>
      </w:pPr>
      <w:r>
        <w:rPr>
          <w:rFonts w:hint="eastAsia" w:ascii="宋体" w:hAnsi="宋体" w:cs="宋体"/>
          <w:sz w:val="18"/>
          <w:szCs w:val="18"/>
        </w:rPr>
        <w:t>8.重复用水率＝重复用水量/(用新水量+重复用水量)×100%</w:t>
      </w:r>
    </w:p>
    <w:p>
      <w:pPr>
        <w:snapToGrid w:val="0"/>
        <w:spacing w:beforeLines="100" w:afterLines="100"/>
        <w:jc w:val="center"/>
        <w:outlineLvl w:val="2"/>
        <w:rPr>
          <w:sz w:val="32"/>
        </w:rPr>
      </w:pPr>
      <w:r>
        <w:rPr>
          <w:spacing w:val="-10"/>
          <w:sz w:val="18"/>
          <w:szCs w:val="18"/>
        </w:rPr>
        <w:br w:type="page"/>
      </w:r>
      <w:r>
        <w:rPr>
          <w:sz w:val="32"/>
        </w:rPr>
        <w:t>非工业重点耗能单位能源消费情况</w:t>
      </w:r>
    </w:p>
    <w:tbl>
      <w:tblPr>
        <w:tblStyle w:val="25"/>
        <w:tblW w:w="9444" w:type="dxa"/>
        <w:jc w:val="center"/>
        <w:tblInd w:w="0" w:type="dxa"/>
        <w:tblLayout w:type="fixed"/>
        <w:tblCellMar>
          <w:top w:w="0" w:type="dxa"/>
          <w:left w:w="0" w:type="dxa"/>
          <w:bottom w:w="0" w:type="dxa"/>
          <w:right w:w="0" w:type="dxa"/>
        </w:tblCellMar>
      </w:tblPr>
      <w:tblGrid>
        <w:gridCol w:w="3181"/>
        <w:gridCol w:w="909"/>
        <w:gridCol w:w="2872"/>
        <w:gridCol w:w="868"/>
        <w:gridCol w:w="1614"/>
      </w:tblGrid>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p>
        </w:tc>
        <w:tc>
          <w:tcPr>
            <w:tcW w:w="909" w:type="dxa"/>
          </w:tcPr>
          <w:p>
            <w:pPr>
              <w:spacing w:line="260" w:lineRule="exact"/>
              <w:rPr>
                <w:sz w:val="18"/>
                <w:szCs w:val="18"/>
              </w:rPr>
            </w:pPr>
          </w:p>
        </w:tc>
        <w:tc>
          <w:tcPr>
            <w:tcW w:w="2872" w:type="dxa"/>
          </w:tcPr>
          <w:p>
            <w:pPr>
              <w:spacing w:line="260" w:lineRule="exact"/>
              <w:rPr>
                <w:sz w:val="18"/>
                <w:szCs w:val="18"/>
              </w:rPr>
            </w:pPr>
          </w:p>
        </w:tc>
        <w:tc>
          <w:tcPr>
            <w:tcW w:w="868" w:type="dxa"/>
            <w:tcMar>
              <w:left w:w="0" w:type="dxa"/>
              <w:right w:w="0" w:type="dxa"/>
            </w:tcMar>
          </w:tcPr>
          <w:p>
            <w:pPr>
              <w:spacing w:line="260" w:lineRule="exact"/>
              <w:rPr>
                <w:sz w:val="18"/>
                <w:szCs w:val="18"/>
              </w:rPr>
            </w:pPr>
            <w:r>
              <w:rPr>
                <w:sz w:val="18"/>
                <w:szCs w:val="18"/>
              </w:rPr>
              <w:t>表    号：</w:t>
            </w:r>
          </w:p>
        </w:tc>
        <w:tc>
          <w:tcPr>
            <w:tcW w:w="1614" w:type="dxa"/>
            <w:vAlign w:val="center"/>
          </w:tcPr>
          <w:p>
            <w:pPr>
              <w:spacing w:line="260" w:lineRule="exact"/>
              <w:jc w:val="distribute"/>
              <w:rPr>
                <w:spacing w:val="-2"/>
                <w:kern w:val="0"/>
                <w:sz w:val="18"/>
                <w:szCs w:val="18"/>
              </w:rPr>
            </w:pPr>
            <w:r>
              <w:rPr>
                <w:spacing w:val="-2"/>
                <w:kern w:val="0"/>
                <w:sz w:val="18"/>
                <w:szCs w:val="18"/>
              </w:rPr>
              <w:t>２０５－５表</w:t>
            </w:r>
          </w:p>
        </w:tc>
      </w:tr>
      <w:tr>
        <w:tblPrEx>
          <w:tblLayout w:type="fixed"/>
          <w:tblCellMar>
            <w:top w:w="0" w:type="dxa"/>
            <w:left w:w="0" w:type="dxa"/>
            <w:bottom w:w="0" w:type="dxa"/>
            <w:right w:w="0" w:type="dxa"/>
          </w:tblCellMar>
        </w:tblPrEx>
        <w:trPr>
          <w:jc w:val="center"/>
        </w:trPr>
        <w:tc>
          <w:tcPr>
            <w:tcW w:w="6962" w:type="dxa"/>
            <w:gridSpan w:val="3"/>
          </w:tcPr>
          <w:p>
            <w:pPr>
              <w:spacing w:line="260" w:lineRule="exact"/>
              <w:rPr>
                <w:sz w:val="18"/>
                <w:szCs w:val="18"/>
              </w:rPr>
            </w:pPr>
            <w:r>
              <w:rPr>
                <w:sz w:val="18"/>
                <w:szCs w:val="18"/>
              </w:rPr>
              <w:t>统一社会信用代码</w:t>
            </w:r>
            <w:r>
              <w:rPr>
                <w:rFonts w:hint="eastAsia" w:ascii="宋体" w:hAnsi="宋体" w:cs="宋体"/>
                <w:color w:val="000000"/>
                <w:kern w:val="0"/>
                <w:sz w:val="18"/>
                <w:szCs w:val="18"/>
              </w:rPr>
              <w:t>□□□□□□□□□□□□□□□□□□</w:t>
            </w:r>
          </w:p>
        </w:tc>
        <w:tc>
          <w:tcPr>
            <w:tcW w:w="868" w:type="dxa"/>
            <w:tcMar>
              <w:left w:w="0" w:type="dxa"/>
              <w:right w:w="0" w:type="dxa"/>
            </w:tcMar>
            <w:vAlign w:val="center"/>
          </w:tcPr>
          <w:p>
            <w:pPr>
              <w:spacing w:line="260" w:lineRule="exact"/>
              <w:rPr>
                <w:sz w:val="18"/>
                <w:szCs w:val="18"/>
              </w:rPr>
            </w:pPr>
            <w:r>
              <w:rPr>
                <w:sz w:val="18"/>
                <w:szCs w:val="18"/>
              </w:rPr>
              <w:t>制定机关：</w:t>
            </w:r>
          </w:p>
        </w:tc>
        <w:tc>
          <w:tcPr>
            <w:tcW w:w="1614" w:type="dxa"/>
            <w:vAlign w:val="center"/>
          </w:tcPr>
          <w:p>
            <w:pPr>
              <w:spacing w:line="260" w:lineRule="exact"/>
              <w:jc w:val="distribute"/>
              <w:rPr>
                <w:spacing w:val="-2"/>
                <w:kern w:val="0"/>
                <w:sz w:val="18"/>
                <w:szCs w:val="18"/>
              </w:rPr>
            </w:pPr>
            <w:r>
              <w:rPr>
                <w:spacing w:val="-2"/>
                <w:kern w:val="0"/>
                <w:sz w:val="18"/>
                <w:szCs w:val="18"/>
              </w:rPr>
              <w:t>国 家 统 计 局</w:t>
            </w:r>
          </w:p>
        </w:tc>
      </w:tr>
      <w:tr>
        <w:tblPrEx>
          <w:tblLayout w:type="fixed"/>
          <w:tblCellMar>
            <w:top w:w="0" w:type="dxa"/>
            <w:left w:w="0" w:type="dxa"/>
            <w:bottom w:w="0" w:type="dxa"/>
            <w:right w:w="0" w:type="dxa"/>
          </w:tblCellMar>
        </w:tblPrEx>
        <w:trPr>
          <w:jc w:val="center"/>
        </w:trPr>
        <w:tc>
          <w:tcPr>
            <w:tcW w:w="6962" w:type="dxa"/>
            <w:gridSpan w:val="3"/>
          </w:tcPr>
          <w:p>
            <w:pPr>
              <w:spacing w:line="260" w:lineRule="exact"/>
              <w:jc w:val="left"/>
              <w:rPr>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868" w:type="dxa"/>
            <w:tcMar>
              <w:left w:w="0" w:type="dxa"/>
              <w:right w:w="0" w:type="dxa"/>
            </w:tcMar>
            <w:vAlign w:val="center"/>
          </w:tcPr>
          <w:p>
            <w:pPr>
              <w:spacing w:line="260" w:lineRule="exact"/>
              <w:rPr>
                <w:sz w:val="18"/>
                <w:szCs w:val="18"/>
              </w:rPr>
            </w:pPr>
            <w:r>
              <w:rPr>
                <w:sz w:val="18"/>
                <w:szCs w:val="18"/>
              </w:rPr>
              <w:t>文    号：</w:t>
            </w:r>
          </w:p>
        </w:tc>
        <w:tc>
          <w:tcPr>
            <w:tcW w:w="1614" w:type="dxa"/>
            <w:vAlign w:val="center"/>
          </w:tcPr>
          <w:p>
            <w:pPr>
              <w:spacing w:line="260" w:lineRule="exact"/>
              <w:jc w:val="distribute"/>
              <w:rPr>
                <w:spacing w:val="-2"/>
                <w:kern w:val="0"/>
                <w:sz w:val="18"/>
                <w:szCs w:val="18"/>
              </w:rPr>
            </w:pPr>
            <w:r>
              <w:rPr>
                <w:rFonts w:hint="eastAsia" w:ascii="宋体" w:hAnsi="宋体"/>
                <w:spacing w:val="-2"/>
                <w:kern w:val="0"/>
                <w:sz w:val="18"/>
                <w:szCs w:val="18"/>
              </w:rPr>
              <w:t>国统字〔2020〕105 号</w:t>
            </w:r>
          </w:p>
        </w:tc>
      </w:tr>
      <w:tr>
        <w:tblPrEx>
          <w:tblLayout w:type="fixed"/>
          <w:tblCellMar>
            <w:top w:w="0" w:type="dxa"/>
            <w:left w:w="0" w:type="dxa"/>
            <w:bottom w:w="0" w:type="dxa"/>
            <w:right w:w="0" w:type="dxa"/>
          </w:tblCellMar>
        </w:tblPrEx>
        <w:trPr>
          <w:jc w:val="center"/>
        </w:trPr>
        <w:tc>
          <w:tcPr>
            <w:tcW w:w="3181" w:type="dxa"/>
          </w:tcPr>
          <w:p>
            <w:pPr>
              <w:spacing w:line="260" w:lineRule="exact"/>
              <w:rPr>
                <w:sz w:val="18"/>
                <w:szCs w:val="18"/>
              </w:rPr>
            </w:pPr>
            <w:r>
              <w:rPr>
                <w:sz w:val="18"/>
              </w:rPr>
              <w:t>单位详细名称：</w:t>
            </w:r>
          </w:p>
        </w:tc>
        <w:tc>
          <w:tcPr>
            <w:tcW w:w="909" w:type="dxa"/>
          </w:tcPr>
          <w:p>
            <w:pPr>
              <w:spacing w:line="260" w:lineRule="exact"/>
              <w:rPr>
                <w:sz w:val="18"/>
                <w:szCs w:val="18"/>
              </w:rPr>
            </w:pPr>
          </w:p>
        </w:tc>
        <w:tc>
          <w:tcPr>
            <w:tcW w:w="2872" w:type="dxa"/>
          </w:tcPr>
          <w:p>
            <w:pPr>
              <w:spacing w:line="260" w:lineRule="exact"/>
              <w:rPr>
                <w:sz w:val="18"/>
                <w:szCs w:val="18"/>
              </w:rPr>
            </w:pPr>
            <w:r>
              <w:rPr>
                <w:sz w:val="18"/>
                <w:szCs w:val="18"/>
              </w:rPr>
              <w:t>２０　　年　</w:t>
            </w:r>
            <w:r>
              <w:rPr>
                <w:rFonts w:hint="eastAsia"/>
                <w:sz w:val="18"/>
                <w:szCs w:val="18"/>
              </w:rPr>
              <w:t xml:space="preserve"> １</w:t>
            </w:r>
            <w:r>
              <w:rPr>
                <w:sz w:val="18"/>
                <w:szCs w:val="18"/>
              </w:rPr>
              <w:t>－　季</w:t>
            </w:r>
          </w:p>
        </w:tc>
        <w:tc>
          <w:tcPr>
            <w:tcW w:w="868" w:type="dxa"/>
            <w:tcMar>
              <w:left w:w="0" w:type="dxa"/>
              <w:right w:w="0" w:type="dxa"/>
            </w:tcMar>
            <w:vAlign w:val="center"/>
          </w:tcPr>
          <w:p>
            <w:pPr>
              <w:spacing w:line="260" w:lineRule="exact"/>
              <w:rPr>
                <w:sz w:val="18"/>
                <w:szCs w:val="18"/>
              </w:rPr>
            </w:pPr>
            <w:r>
              <w:rPr>
                <w:sz w:val="18"/>
                <w:szCs w:val="18"/>
              </w:rPr>
              <w:t>有效期至：</w:t>
            </w:r>
          </w:p>
        </w:tc>
        <w:tc>
          <w:tcPr>
            <w:tcW w:w="1614" w:type="dxa"/>
            <w:vAlign w:val="center"/>
          </w:tcPr>
          <w:p>
            <w:pPr>
              <w:spacing w:line="260" w:lineRule="exact"/>
              <w:jc w:val="distribute"/>
              <w:rPr>
                <w:spacing w:val="-2"/>
                <w:kern w:val="0"/>
                <w:sz w:val="18"/>
                <w:szCs w:val="18"/>
              </w:rPr>
            </w:pPr>
            <w:r>
              <w:rPr>
                <w:spacing w:val="-2"/>
                <w:kern w:val="0"/>
                <w:sz w:val="18"/>
                <w:szCs w:val="18"/>
              </w:rPr>
              <w:t>２０２２年１月</w:t>
            </w:r>
          </w:p>
        </w:tc>
      </w:tr>
    </w:tbl>
    <w:p>
      <w:pPr>
        <w:spacing w:line="20" w:lineRule="exact"/>
        <w:rPr>
          <w:sz w:val="18"/>
          <w:szCs w:val="18"/>
        </w:rPr>
      </w:pPr>
    </w:p>
    <w:tbl>
      <w:tblPr>
        <w:tblStyle w:val="25"/>
        <w:tblW w:w="9468"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317"/>
        <w:gridCol w:w="1121"/>
        <w:gridCol w:w="566"/>
        <w:gridCol w:w="913"/>
        <w:gridCol w:w="1004"/>
        <w:gridCol w:w="1000"/>
        <w:gridCol w:w="1002"/>
        <w:gridCol w:w="25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420" w:hRule="atLeast"/>
          <w:jc w:val="center"/>
        </w:trPr>
        <w:tc>
          <w:tcPr>
            <w:tcW w:w="1317" w:type="dxa"/>
            <w:vMerge w:val="restart"/>
            <w:shd w:val="clear" w:color="auto" w:fill="auto"/>
            <w:vAlign w:val="center"/>
          </w:tcPr>
          <w:p>
            <w:pPr>
              <w:adjustRightInd w:val="0"/>
              <w:snapToGrid w:val="0"/>
              <w:jc w:val="center"/>
              <w:rPr>
                <w:sz w:val="18"/>
                <w:szCs w:val="18"/>
              </w:rPr>
            </w:pPr>
            <w:r>
              <w:rPr>
                <w:sz w:val="18"/>
                <w:szCs w:val="18"/>
              </w:rPr>
              <w:t>能源名称</w:t>
            </w:r>
          </w:p>
        </w:tc>
        <w:tc>
          <w:tcPr>
            <w:tcW w:w="1121" w:type="dxa"/>
            <w:vMerge w:val="restart"/>
            <w:shd w:val="clear" w:color="auto" w:fill="auto"/>
            <w:tcMar>
              <w:left w:w="108" w:type="dxa"/>
              <w:right w:w="108" w:type="dxa"/>
            </w:tcMar>
            <w:vAlign w:val="center"/>
          </w:tcPr>
          <w:p>
            <w:pPr>
              <w:adjustRightInd w:val="0"/>
              <w:snapToGrid w:val="0"/>
              <w:jc w:val="center"/>
              <w:rPr>
                <w:sz w:val="18"/>
                <w:szCs w:val="18"/>
              </w:rPr>
            </w:pPr>
            <w:r>
              <w:rPr>
                <w:sz w:val="18"/>
                <w:szCs w:val="18"/>
              </w:rPr>
              <w:t>计量单位</w:t>
            </w:r>
          </w:p>
        </w:tc>
        <w:tc>
          <w:tcPr>
            <w:tcW w:w="566" w:type="dxa"/>
            <w:vMerge w:val="restart"/>
            <w:shd w:val="clear" w:color="auto" w:fill="auto"/>
            <w:tcMar>
              <w:top w:w="0" w:type="dxa"/>
              <w:left w:w="108" w:type="dxa"/>
              <w:bottom w:w="0" w:type="dxa"/>
              <w:right w:w="108" w:type="dxa"/>
            </w:tcMar>
            <w:vAlign w:val="center"/>
          </w:tcPr>
          <w:p>
            <w:pPr>
              <w:adjustRightInd w:val="0"/>
              <w:snapToGrid w:val="0"/>
              <w:jc w:val="center"/>
              <w:rPr>
                <w:sz w:val="18"/>
                <w:szCs w:val="18"/>
              </w:rPr>
            </w:pPr>
            <w:r>
              <w:rPr>
                <w:sz w:val="18"/>
                <w:szCs w:val="18"/>
              </w:rPr>
              <w:t>代码</w:t>
            </w:r>
          </w:p>
        </w:tc>
        <w:tc>
          <w:tcPr>
            <w:tcW w:w="1917" w:type="dxa"/>
            <w:gridSpan w:val="2"/>
            <w:shd w:val="clear" w:color="auto" w:fill="auto"/>
            <w:tcMar>
              <w:top w:w="0" w:type="dxa"/>
              <w:left w:w="0" w:type="dxa"/>
              <w:bottom w:w="0" w:type="dxa"/>
              <w:right w:w="0" w:type="dxa"/>
            </w:tcMar>
            <w:vAlign w:val="center"/>
          </w:tcPr>
          <w:p>
            <w:pPr>
              <w:adjustRightInd w:val="0"/>
              <w:snapToGrid w:val="0"/>
              <w:jc w:val="center"/>
              <w:rPr>
                <w:sz w:val="18"/>
                <w:szCs w:val="18"/>
              </w:rPr>
            </w:pPr>
            <w:r>
              <w:rPr>
                <w:sz w:val="18"/>
                <w:szCs w:val="18"/>
              </w:rPr>
              <w:t xml:space="preserve">1-本季    </w:t>
            </w:r>
          </w:p>
        </w:tc>
        <w:tc>
          <w:tcPr>
            <w:tcW w:w="2002" w:type="dxa"/>
            <w:gridSpan w:val="2"/>
            <w:tcBorders>
              <w:top w:val="single" w:color="auto" w:sz="8" w:space="0"/>
              <w:bottom w:val="single" w:color="auto" w:sz="2" w:space="0"/>
            </w:tcBorders>
            <w:shd w:val="clear" w:color="auto" w:fill="D9D9D9"/>
            <w:vAlign w:val="center"/>
          </w:tcPr>
          <w:p>
            <w:pPr>
              <w:adjustRightInd w:val="0"/>
              <w:snapToGrid w:val="0"/>
              <w:jc w:val="center"/>
              <w:rPr>
                <w:sz w:val="18"/>
                <w:szCs w:val="18"/>
              </w:rPr>
            </w:pPr>
            <w:r>
              <w:rPr>
                <w:sz w:val="18"/>
                <w:szCs w:val="18"/>
              </w:rPr>
              <w:t xml:space="preserve">上年同期  </w:t>
            </w:r>
          </w:p>
        </w:tc>
        <w:tc>
          <w:tcPr>
            <w:tcW w:w="2545" w:type="dxa"/>
            <w:vMerge w:val="restart"/>
            <w:vAlign w:val="center"/>
          </w:tcPr>
          <w:p>
            <w:pPr>
              <w:adjustRightInd w:val="0"/>
              <w:snapToGrid w:val="0"/>
              <w:jc w:val="center"/>
              <w:rPr>
                <w:sz w:val="18"/>
                <w:szCs w:val="18"/>
              </w:rPr>
            </w:pPr>
            <w:r>
              <w:rPr>
                <w:sz w:val="18"/>
                <w:szCs w:val="18"/>
              </w:rPr>
              <w:t>参考折标准煤系数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561" w:hRule="exact"/>
          <w:jc w:val="center"/>
        </w:trPr>
        <w:tc>
          <w:tcPr>
            <w:tcW w:w="1317" w:type="dxa"/>
            <w:vMerge w:val="continue"/>
            <w:shd w:val="clear" w:color="auto" w:fill="auto"/>
            <w:vAlign w:val="center"/>
          </w:tcPr>
          <w:p>
            <w:pPr>
              <w:adjustRightInd w:val="0"/>
              <w:snapToGrid w:val="0"/>
              <w:jc w:val="center"/>
              <w:rPr>
                <w:sz w:val="18"/>
                <w:szCs w:val="18"/>
              </w:rPr>
            </w:pPr>
          </w:p>
        </w:tc>
        <w:tc>
          <w:tcPr>
            <w:tcW w:w="1121" w:type="dxa"/>
            <w:vMerge w:val="continue"/>
            <w:shd w:val="clear" w:color="auto" w:fill="auto"/>
            <w:tcMar>
              <w:left w:w="108" w:type="dxa"/>
              <w:right w:w="108" w:type="dxa"/>
            </w:tcMar>
            <w:vAlign w:val="center"/>
          </w:tcPr>
          <w:p>
            <w:pPr>
              <w:adjustRightInd w:val="0"/>
              <w:snapToGrid w:val="0"/>
              <w:jc w:val="center"/>
              <w:rPr>
                <w:sz w:val="18"/>
                <w:szCs w:val="18"/>
              </w:rPr>
            </w:pPr>
          </w:p>
        </w:tc>
        <w:tc>
          <w:tcPr>
            <w:tcW w:w="566" w:type="dxa"/>
            <w:vMerge w:val="continue"/>
            <w:shd w:val="clear" w:color="auto" w:fill="auto"/>
            <w:tcMar>
              <w:top w:w="0" w:type="dxa"/>
              <w:left w:w="108" w:type="dxa"/>
              <w:bottom w:w="0" w:type="dxa"/>
              <w:right w:w="108" w:type="dxa"/>
            </w:tcMar>
            <w:vAlign w:val="center"/>
          </w:tcPr>
          <w:p>
            <w:pPr>
              <w:adjustRightInd w:val="0"/>
              <w:snapToGrid w:val="0"/>
              <w:jc w:val="center"/>
              <w:rPr>
                <w:sz w:val="18"/>
                <w:szCs w:val="18"/>
              </w:rPr>
            </w:pPr>
          </w:p>
        </w:tc>
        <w:tc>
          <w:tcPr>
            <w:tcW w:w="913" w:type="dxa"/>
            <w:shd w:val="clear" w:color="auto" w:fill="auto"/>
            <w:tcMar>
              <w:top w:w="0" w:type="dxa"/>
              <w:left w:w="0" w:type="dxa"/>
              <w:bottom w:w="0" w:type="dxa"/>
              <w:right w:w="0" w:type="dxa"/>
            </w:tcMar>
            <w:vAlign w:val="center"/>
          </w:tcPr>
          <w:p>
            <w:pPr>
              <w:adjustRightInd w:val="0"/>
              <w:snapToGrid w:val="0"/>
              <w:jc w:val="center"/>
              <w:rPr>
                <w:sz w:val="18"/>
                <w:szCs w:val="18"/>
              </w:rPr>
            </w:pPr>
            <w:r>
              <w:rPr>
                <w:sz w:val="18"/>
                <w:szCs w:val="18"/>
              </w:rPr>
              <w:t>消费量</w:t>
            </w:r>
          </w:p>
        </w:tc>
        <w:tc>
          <w:tcPr>
            <w:tcW w:w="1004" w:type="dxa"/>
            <w:shd w:val="clear" w:color="auto" w:fill="auto"/>
            <w:tcMar>
              <w:top w:w="0" w:type="dxa"/>
              <w:left w:w="108" w:type="dxa"/>
              <w:bottom w:w="0" w:type="dxa"/>
              <w:right w:w="108" w:type="dxa"/>
            </w:tcMar>
            <w:vAlign w:val="center"/>
          </w:tcPr>
          <w:p>
            <w:pPr>
              <w:adjustRightInd w:val="0"/>
              <w:snapToGrid w:val="0"/>
              <w:jc w:val="center"/>
              <w:rPr>
                <w:sz w:val="18"/>
                <w:szCs w:val="18"/>
              </w:rPr>
            </w:pPr>
            <w:r>
              <w:rPr>
                <w:sz w:val="18"/>
                <w:szCs w:val="18"/>
              </w:rPr>
              <w:t>消费金额(千元)</w:t>
            </w:r>
          </w:p>
        </w:tc>
        <w:tc>
          <w:tcPr>
            <w:tcW w:w="1000" w:type="dxa"/>
            <w:tcBorders>
              <w:top w:val="single" w:color="auto" w:sz="2" w:space="0"/>
              <w:bottom w:val="single" w:color="auto" w:sz="2" w:space="0"/>
            </w:tcBorders>
            <w:shd w:val="clear" w:color="auto" w:fill="D9D9D9"/>
            <w:vAlign w:val="center"/>
          </w:tcPr>
          <w:p>
            <w:pPr>
              <w:adjustRightInd w:val="0"/>
              <w:snapToGrid w:val="0"/>
              <w:jc w:val="center"/>
              <w:rPr>
                <w:sz w:val="18"/>
                <w:szCs w:val="18"/>
              </w:rPr>
            </w:pPr>
            <w:r>
              <w:rPr>
                <w:sz w:val="18"/>
                <w:szCs w:val="18"/>
              </w:rPr>
              <w:t>消费量</w:t>
            </w:r>
          </w:p>
        </w:tc>
        <w:tc>
          <w:tcPr>
            <w:tcW w:w="1002" w:type="dxa"/>
            <w:tcBorders>
              <w:top w:val="single" w:color="auto" w:sz="2" w:space="0"/>
              <w:bottom w:val="single" w:color="auto" w:sz="2" w:space="0"/>
            </w:tcBorders>
            <w:shd w:val="clear" w:color="auto" w:fill="D9D9D9"/>
            <w:vAlign w:val="center"/>
          </w:tcPr>
          <w:p>
            <w:pPr>
              <w:adjustRightInd w:val="0"/>
              <w:snapToGrid w:val="0"/>
              <w:jc w:val="center"/>
              <w:rPr>
                <w:sz w:val="18"/>
                <w:szCs w:val="18"/>
              </w:rPr>
            </w:pPr>
            <w:r>
              <w:rPr>
                <w:sz w:val="18"/>
                <w:szCs w:val="18"/>
              </w:rPr>
              <w:t>消费金额(千元)</w:t>
            </w:r>
          </w:p>
        </w:tc>
        <w:tc>
          <w:tcPr>
            <w:tcW w:w="2545" w:type="dxa"/>
            <w:vMerge w:val="continue"/>
            <w:vAlign w:val="center"/>
          </w:tcPr>
          <w:p>
            <w:pPr>
              <w:adjustRightInd w:val="0"/>
              <w:snapToGrid w:val="0"/>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306" w:hRule="exact"/>
          <w:jc w:val="center"/>
        </w:trPr>
        <w:tc>
          <w:tcPr>
            <w:tcW w:w="1317" w:type="dxa"/>
            <w:shd w:val="clear" w:color="auto" w:fill="auto"/>
            <w:vAlign w:val="center"/>
          </w:tcPr>
          <w:p>
            <w:pPr>
              <w:adjustRightInd w:val="0"/>
              <w:snapToGrid w:val="0"/>
              <w:spacing w:line="240" w:lineRule="exact"/>
              <w:jc w:val="center"/>
              <w:textAlignment w:val="center"/>
              <w:rPr>
                <w:sz w:val="18"/>
                <w:szCs w:val="18"/>
              </w:rPr>
            </w:pPr>
            <w:r>
              <w:rPr>
                <w:sz w:val="18"/>
                <w:szCs w:val="18"/>
              </w:rPr>
              <w:t>甲</w:t>
            </w:r>
          </w:p>
        </w:tc>
        <w:tc>
          <w:tcPr>
            <w:tcW w:w="1121" w:type="dxa"/>
            <w:shd w:val="clear" w:color="auto" w:fill="auto"/>
            <w:tcMar>
              <w:left w:w="108" w:type="dxa"/>
              <w:right w:w="108" w:type="dxa"/>
            </w:tcMar>
            <w:vAlign w:val="center"/>
          </w:tcPr>
          <w:p>
            <w:pPr>
              <w:adjustRightInd w:val="0"/>
              <w:snapToGrid w:val="0"/>
              <w:spacing w:line="240" w:lineRule="exact"/>
              <w:jc w:val="center"/>
              <w:textAlignment w:val="center"/>
              <w:rPr>
                <w:sz w:val="18"/>
                <w:szCs w:val="18"/>
              </w:rPr>
            </w:pPr>
            <w:r>
              <w:rPr>
                <w:sz w:val="18"/>
                <w:szCs w:val="18"/>
              </w:rPr>
              <w:t>乙</w:t>
            </w:r>
          </w:p>
        </w:tc>
        <w:tc>
          <w:tcPr>
            <w:tcW w:w="566" w:type="dxa"/>
            <w:shd w:val="clear" w:color="auto" w:fill="auto"/>
            <w:tcMar>
              <w:top w:w="0" w:type="dxa"/>
              <w:left w:w="108" w:type="dxa"/>
              <w:bottom w:w="0" w:type="dxa"/>
              <w:right w:w="108" w:type="dxa"/>
            </w:tcMar>
            <w:vAlign w:val="center"/>
          </w:tcPr>
          <w:p>
            <w:pPr>
              <w:adjustRightInd w:val="0"/>
              <w:snapToGrid w:val="0"/>
              <w:spacing w:line="240" w:lineRule="exact"/>
              <w:jc w:val="center"/>
              <w:textAlignment w:val="center"/>
              <w:rPr>
                <w:sz w:val="18"/>
                <w:szCs w:val="18"/>
              </w:rPr>
            </w:pPr>
            <w:r>
              <w:rPr>
                <w:sz w:val="18"/>
                <w:szCs w:val="18"/>
              </w:rPr>
              <w:t>丙</w:t>
            </w:r>
          </w:p>
        </w:tc>
        <w:tc>
          <w:tcPr>
            <w:tcW w:w="913" w:type="dxa"/>
            <w:shd w:val="clear" w:color="auto" w:fill="auto"/>
            <w:tcMar>
              <w:top w:w="0" w:type="dxa"/>
              <w:left w:w="0" w:type="dxa"/>
              <w:bottom w:w="0" w:type="dxa"/>
              <w:right w:w="0" w:type="dxa"/>
            </w:tcMar>
            <w:vAlign w:val="center"/>
          </w:tcPr>
          <w:p>
            <w:pPr>
              <w:adjustRightInd w:val="0"/>
              <w:snapToGrid w:val="0"/>
              <w:spacing w:line="240" w:lineRule="exact"/>
              <w:jc w:val="center"/>
              <w:textAlignment w:val="center"/>
              <w:rPr>
                <w:rFonts w:ascii="宋体" w:hAnsi="宋体" w:cs="宋体"/>
                <w:sz w:val="18"/>
                <w:szCs w:val="18"/>
              </w:rPr>
            </w:pPr>
            <w:r>
              <w:rPr>
                <w:rFonts w:ascii="宋体" w:hAnsi="宋体" w:cs="宋体"/>
                <w:sz w:val="18"/>
                <w:szCs w:val="18"/>
              </w:rPr>
              <w:t>1</w:t>
            </w:r>
          </w:p>
        </w:tc>
        <w:tc>
          <w:tcPr>
            <w:tcW w:w="1004" w:type="dxa"/>
            <w:shd w:val="clear" w:color="auto" w:fill="auto"/>
            <w:tcMar>
              <w:top w:w="0" w:type="dxa"/>
              <w:left w:w="108" w:type="dxa"/>
              <w:bottom w:w="0" w:type="dxa"/>
              <w:right w:w="108" w:type="dxa"/>
            </w:tcMar>
            <w:vAlign w:val="center"/>
          </w:tcPr>
          <w:p>
            <w:pPr>
              <w:adjustRightInd w:val="0"/>
              <w:snapToGrid w:val="0"/>
              <w:spacing w:line="240" w:lineRule="exact"/>
              <w:jc w:val="center"/>
              <w:textAlignment w:val="center"/>
              <w:rPr>
                <w:rFonts w:ascii="宋体" w:hAnsi="宋体" w:cs="宋体"/>
                <w:sz w:val="18"/>
                <w:szCs w:val="18"/>
              </w:rPr>
            </w:pPr>
            <w:r>
              <w:rPr>
                <w:rFonts w:ascii="宋体" w:hAnsi="宋体" w:cs="宋体"/>
                <w:sz w:val="18"/>
                <w:szCs w:val="18"/>
              </w:rPr>
              <w:t>2</w:t>
            </w:r>
          </w:p>
        </w:tc>
        <w:tc>
          <w:tcPr>
            <w:tcW w:w="1000" w:type="dxa"/>
            <w:tcBorders>
              <w:top w:val="single" w:color="auto" w:sz="2" w:space="0"/>
              <w:bottom w:val="single" w:color="auto" w:sz="2" w:space="0"/>
            </w:tcBorders>
            <w:shd w:val="clear" w:color="auto" w:fill="D9D9D9"/>
            <w:vAlign w:val="center"/>
          </w:tcPr>
          <w:p>
            <w:pPr>
              <w:adjustRightInd w:val="0"/>
              <w:snapToGrid w:val="0"/>
              <w:spacing w:line="240" w:lineRule="exact"/>
              <w:jc w:val="center"/>
              <w:textAlignment w:val="center"/>
              <w:rPr>
                <w:rFonts w:ascii="宋体" w:hAnsi="宋体" w:cs="宋体"/>
                <w:sz w:val="18"/>
                <w:szCs w:val="18"/>
              </w:rPr>
            </w:pPr>
            <w:r>
              <w:rPr>
                <w:rFonts w:ascii="宋体" w:hAnsi="宋体" w:cs="宋体"/>
                <w:sz w:val="18"/>
                <w:szCs w:val="18"/>
              </w:rPr>
              <w:t>3</w:t>
            </w:r>
          </w:p>
        </w:tc>
        <w:tc>
          <w:tcPr>
            <w:tcW w:w="1002" w:type="dxa"/>
            <w:tcBorders>
              <w:top w:val="single" w:color="auto" w:sz="2" w:space="0"/>
              <w:bottom w:val="single" w:color="auto" w:sz="2" w:space="0"/>
            </w:tcBorders>
            <w:shd w:val="clear" w:color="auto" w:fill="D9D9D9"/>
            <w:vAlign w:val="center"/>
          </w:tcPr>
          <w:p>
            <w:pPr>
              <w:adjustRightInd w:val="0"/>
              <w:snapToGrid w:val="0"/>
              <w:spacing w:line="240" w:lineRule="exact"/>
              <w:jc w:val="center"/>
              <w:textAlignment w:val="center"/>
              <w:rPr>
                <w:rFonts w:ascii="宋体" w:hAnsi="宋体" w:cs="宋体"/>
                <w:sz w:val="18"/>
                <w:szCs w:val="18"/>
              </w:rPr>
            </w:pPr>
            <w:r>
              <w:rPr>
                <w:rFonts w:ascii="宋体" w:hAnsi="宋体" w:cs="宋体"/>
                <w:sz w:val="18"/>
                <w:szCs w:val="18"/>
              </w:rPr>
              <w:t>4</w:t>
            </w:r>
          </w:p>
        </w:tc>
        <w:tc>
          <w:tcPr>
            <w:tcW w:w="2545" w:type="dxa"/>
            <w:vAlign w:val="center"/>
          </w:tcPr>
          <w:p>
            <w:pPr>
              <w:adjustRightInd w:val="0"/>
              <w:snapToGrid w:val="0"/>
              <w:spacing w:line="240" w:lineRule="exact"/>
              <w:jc w:val="center"/>
              <w:textAlignment w:val="center"/>
              <w:rPr>
                <w:sz w:val="18"/>
                <w:szCs w:val="18"/>
              </w:rPr>
            </w:pPr>
            <w:r>
              <w:rPr>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723" w:hRule="atLeast"/>
          <w:jc w:val="center"/>
        </w:trPr>
        <w:tc>
          <w:tcPr>
            <w:tcW w:w="1317" w:type="dxa"/>
          </w:tcPr>
          <w:p>
            <w:pPr>
              <w:adjustRightInd w:val="0"/>
              <w:snapToGrid w:val="0"/>
              <w:spacing w:line="320" w:lineRule="exact"/>
              <w:ind w:firstLine="90" w:firstLineChars="50"/>
              <w:rPr>
                <w:sz w:val="18"/>
                <w:szCs w:val="18"/>
              </w:rPr>
            </w:pPr>
            <w:r>
              <w:rPr>
                <w:sz w:val="18"/>
                <w:szCs w:val="18"/>
              </w:rPr>
              <w:t>电力</w:t>
            </w:r>
          </w:p>
          <w:p>
            <w:pPr>
              <w:adjustRightInd w:val="0"/>
              <w:snapToGrid w:val="0"/>
              <w:spacing w:line="320" w:lineRule="exact"/>
              <w:ind w:firstLine="90" w:firstLineChars="50"/>
              <w:rPr>
                <w:sz w:val="18"/>
                <w:szCs w:val="18"/>
              </w:rPr>
            </w:pPr>
            <w:r>
              <w:rPr>
                <w:sz w:val="18"/>
                <w:szCs w:val="18"/>
              </w:rPr>
              <w:t>煤炭</w:t>
            </w:r>
          </w:p>
          <w:p>
            <w:pPr>
              <w:adjustRightInd w:val="0"/>
              <w:snapToGrid w:val="0"/>
              <w:spacing w:line="320" w:lineRule="exact"/>
              <w:ind w:firstLine="90" w:firstLineChars="50"/>
              <w:rPr>
                <w:sz w:val="18"/>
                <w:szCs w:val="18"/>
              </w:rPr>
            </w:pPr>
            <w:r>
              <w:rPr>
                <w:sz w:val="18"/>
                <w:szCs w:val="18"/>
              </w:rPr>
              <w:t>焦炭</w:t>
            </w:r>
          </w:p>
          <w:p>
            <w:pPr>
              <w:adjustRightInd w:val="0"/>
              <w:snapToGrid w:val="0"/>
              <w:spacing w:line="320" w:lineRule="exact"/>
              <w:ind w:firstLine="90" w:firstLineChars="50"/>
              <w:rPr>
                <w:sz w:val="18"/>
                <w:szCs w:val="18"/>
              </w:rPr>
            </w:pPr>
            <w:r>
              <w:rPr>
                <w:sz w:val="18"/>
                <w:szCs w:val="18"/>
              </w:rPr>
              <w:t>煤气</w:t>
            </w:r>
          </w:p>
          <w:p>
            <w:pPr>
              <w:adjustRightInd w:val="0"/>
              <w:snapToGrid w:val="0"/>
              <w:spacing w:line="320" w:lineRule="exact"/>
              <w:ind w:firstLine="90" w:firstLineChars="50"/>
              <w:rPr>
                <w:sz w:val="18"/>
                <w:szCs w:val="18"/>
              </w:rPr>
            </w:pPr>
            <w:r>
              <w:rPr>
                <w:sz w:val="18"/>
                <w:szCs w:val="18"/>
              </w:rPr>
              <w:t>天然气</w:t>
            </w:r>
          </w:p>
          <w:p>
            <w:pPr>
              <w:adjustRightInd w:val="0"/>
              <w:snapToGrid w:val="0"/>
              <w:spacing w:line="320" w:lineRule="exact"/>
              <w:ind w:firstLine="80" w:firstLineChars="50"/>
              <w:rPr>
                <w:sz w:val="18"/>
                <w:szCs w:val="18"/>
              </w:rPr>
            </w:pPr>
            <w:r>
              <w:rPr>
                <w:snapToGrid w:val="0"/>
                <w:spacing w:val="-10"/>
                <w:kern w:val="0"/>
                <w:sz w:val="18"/>
                <w:szCs w:val="18"/>
              </w:rPr>
              <w:t>液化石油气</w:t>
            </w:r>
          </w:p>
          <w:p>
            <w:pPr>
              <w:adjustRightInd w:val="0"/>
              <w:snapToGrid w:val="0"/>
              <w:spacing w:line="320" w:lineRule="exact"/>
              <w:ind w:firstLine="90" w:firstLineChars="50"/>
              <w:rPr>
                <w:sz w:val="18"/>
                <w:szCs w:val="18"/>
              </w:rPr>
            </w:pPr>
            <w:r>
              <w:rPr>
                <w:sz w:val="18"/>
                <w:szCs w:val="18"/>
              </w:rPr>
              <w:t>汽油</w:t>
            </w:r>
          </w:p>
          <w:p>
            <w:pPr>
              <w:adjustRightInd w:val="0"/>
              <w:snapToGrid w:val="0"/>
              <w:spacing w:line="320" w:lineRule="exact"/>
              <w:ind w:firstLine="90" w:firstLineChars="50"/>
              <w:rPr>
                <w:sz w:val="18"/>
                <w:szCs w:val="18"/>
              </w:rPr>
            </w:pPr>
            <w:r>
              <w:rPr>
                <w:sz w:val="18"/>
                <w:szCs w:val="18"/>
              </w:rPr>
              <w:t>煤油</w:t>
            </w:r>
          </w:p>
          <w:p>
            <w:pPr>
              <w:adjustRightInd w:val="0"/>
              <w:snapToGrid w:val="0"/>
              <w:spacing w:line="320" w:lineRule="exact"/>
              <w:ind w:firstLine="90" w:firstLineChars="50"/>
              <w:rPr>
                <w:sz w:val="18"/>
                <w:szCs w:val="18"/>
              </w:rPr>
            </w:pPr>
            <w:r>
              <w:rPr>
                <w:sz w:val="18"/>
                <w:szCs w:val="18"/>
              </w:rPr>
              <w:t>柴油</w:t>
            </w:r>
          </w:p>
          <w:p>
            <w:pPr>
              <w:adjustRightInd w:val="0"/>
              <w:snapToGrid w:val="0"/>
              <w:spacing w:line="320" w:lineRule="exact"/>
              <w:ind w:firstLine="90" w:firstLineChars="50"/>
              <w:rPr>
                <w:sz w:val="18"/>
                <w:szCs w:val="18"/>
              </w:rPr>
            </w:pPr>
            <w:r>
              <w:rPr>
                <w:sz w:val="18"/>
                <w:szCs w:val="18"/>
              </w:rPr>
              <w:t>燃料油</w:t>
            </w:r>
          </w:p>
          <w:p>
            <w:pPr>
              <w:adjustRightInd w:val="0"/>
              <w:snapToGrid w:val="0"/>
              <w:spacing w:line="320" w:lineRule="exact"/>
              <w:ind w:firstLine="90" w:firstLineChars="50"/>
              <w:rPr>
                <w:sz w:val="18"/>
                <w:szCs w:val="18"/>
              </w:rPr>
            </w:pPr>
            <w:r>
              <w:rPr>
                <w:sz w:val="18"/>
                <w:szCs w:val="18"/>
              </w:rPr>
              <w:t>外购热力</w:t>
            </w:r>
          </w:p>
        </w:tc>
        <w:tc>
          <w:tcPr>
            <w:tcW w:w="1121" w:type="dxa"/>
            <w:tcMar>
              <w:left w:w="108" w:type="dxa"/>
              <w:right w:w="108" w:type="dxa"/>
            </w:tcMar>
          </w:tcPr>
          <w:p>
            <w:pPr>
              <w:widowControl/>
              <w:snapToGrid w:val="0"/>
              <w:spacing w:line="320" w:lineRule="exact"/>
              <w:jc w:val="center"/>
              <w:rPr>
                <w:kern w:val="0"/>
                <w:sz w:val="18"/>
                <w:szCs w:val="18"/>
              </w:rPr>
            </w:pPr>
            <w:r>
              <w:rPr>
                <w:kern w:val="0"/>
                <w:sz w:val="18"/>
                <w:szCs w:val="18"/>
              </w:rPr>
              <w:t>千瓦时(度)</w:t>
            </w:r>
          </w:p>
          <w:p>
            <w:pPr>
              <w:widowControl/>
              <w:snapToGrid w:val="0"/>
              <w:spacing w:line="320" w:lineRule="exact"/>
              <w:jc w:val="center"/>
              <w:rPr>
                <w:kern w:val="0"/>
                <w:sz w:val="18"/>
                <w:szCs w:val="18"/>
              </w:rPr>
            </w:pPr>
            <w:r>
              <w:rPr>
                <w:kern w:val="0"/>
                <w:sz w:val="18"/>
                <w:szCs w:val="18"/>
              </w:rPr>
              <w:t>吨</w:t>
            </w:r>
          </w:p>
          <w:p>
            <w:pPr>
              <w:widowControl/>
              <w:snapToGrid w:val="0"/>
              <w:spacing w:line="320" w:lineRule="exact"/>
              <w:jc w:val="center"/>
              <w:rPr>
                <w:kern w:val="0"/>
                <w:sz w:val="18"/>
                <w:szCs w:val="18"/>
              </w:rPr>
            </w:pPr>
            <w:r>
              <w:rPr>
                <w:kern w:val="0"/>
                <w:sz w:val="18"/>
                <w:szCs w:val="18"/>
              </w:rPr>
              <w:t>吨</w:t>
            </w:r>
          </w:p>
          <w:p>
            <w:pPr>
              <w:widowControl/>
              <w:snapToGrid w:val="0"/>
              <w:spacing w:line="320" w:lineRule="exact"/>
              <w:jc w:val="center"/>
              <w:rPr>
                <w:kern w:val="0"/>
                <w:sz w:val="18"/>
                <w:szCs w:val="18"/>
              </w:rPr>
            </w:pPr>
            <w:r>
              <w:rPr>
                <w:kern w:val="0"/>
                <w:sz w:val="18"/>
                <w:szCs w:val="18"/>
              </w:rPr>
              <w:t>立方米</w:t>
            </w:r>
          </w:p>
          <w:p>
            <w:pPr>
              <w:widowControl/>
              <w:snapToGrid w:val="0"/>
              <w:spacing w:line="320" w:lineRule="exact"/>
              <w:jc w:val="center"/>
              <w:rPr>
                <w:kern w:val="0"/>
                <w:sz w:val="18"/>
                <w:szCs w:val="18"/>
              </w:rPr>
            </w:pPr>
            <w:r>
              <w:rPr>
                <w:kern w:val="0"/>
                <w:sz w:val="18"/>
                <w:szCs w:val="18"/>
              </w:rPr>
              <w:t>立方米</w:t>
            </w:r>
          </w:p>
          <w:p>
            <w:pPr>
              <w:widowControl/>
              <w:snapToGrid w:val="0"/>
              <w:spacing w:line="320" w:lineRule="exact"/>
              <w:jc w:val="center"/>
              <w:rPr>
                <w:kern w:val="0"/>
                <w:sz w:val="18"/>
                <w:szCs w:val="18"/>
              </w:rPr>
            </w:pPr>
            <w:r>
              <w:rPr>
                <w:kern w:val="0"/>
                <w:sz w:val="18"/>
                <w:szCs w:val="18"/>
              </w:rPr>
              <w:t>吨</w:t>
            </w:r>
          </w:p>
          <w:p>
            <w:pPr>
              <w:widowControl/>
              <w:snapToGrid w:val="0"/>
              <w:spacing w:line="320" w:lineRule="exact"/>
              <w:jc w:val="center"/>
              <w:rPr>
                <w:kern w:val="0"/>
                <w:sz w:val="18"/>
                <w:szCs w:val="18"/>
              </w:rPr>
            </w:pPr>
            <w:r>
              <w:rPr>
                <w:kern w:val="0"/>
                <w:sz w:val="18"/>
                <w:szCs w:val="18"/>
              </w:rPr>
              <w:t>吨</w:t>
            </w:r>
          </w:p>
          <w:p>
            <w:pPr>
              <w:widowControl/>
              <w:snapToGrid w:val="0"/>
              <w:spacing w:line="320" w:lineRule="exact"/>
              <w:jc w:val="center"/>
              <w:rPr>
                <w:kern w:val="0"/>
                <w:sz w:val="18"/>
                <w:szCs w:val="18"/>
              </w:rPr>
            </w:pPr>
            <w:r>
              <w:rPr>
                <w:kern w:val="0"/>
                <w:sz w:val="18"/>
                <w:szCs w:val="18"/>
              </w:rPr>
              <w:t>吨</w:t>
            </w:r>
          </w:p>
          <w:p>
            <w:pPr>
              <w:widowControl/>
              <w:snapToGrid w:val="0"/>
              <w:spacing w:line="320" w:lineRule="exact"/>
              <w:jc w:val="center"/>
              <w:rPr>
                <w:kern w:val="0"/>
                <w:sz w:val="18"/>
                <w:szCs w:val="18"/>
              </w:rPr>
            </w:pPr>
            <w:r>
              <w:rPr>
                <w:kern w:val="0"/>
                <w:sz w:val="18"/>
                <w:szCs w:val="18"/>
              </w:rPr>
              <w:t>吨</w:t>
            </w:r>
          </w:p>
          <w:p>
            <w:pPr>
              <w:snapToGrid w:val="0"/>
              <w:spacing w:line="320" w:lineRule="exact"/>
              <w:jc w:val="center"/>
              <w:rPr>
                <w:kern w:val="0"/>
                <w:sz w:val="18"/>
                <w:szCs w:val="18"/>
              </w:rPr>
            </w:pPr>
            <w:r>
              <w:rPr>
                <w:kern w:val="0"/>
                <w:sz w:val="18"/>
                <w:szCs w:val="18"/>
              </w:rPr>
              <w:t>吨</w:t>
            </w:r>
          </w:p>
          <w:p>
            <w:pPr>
              <w:snapToGrid w:val="0"/>
              <w:spacing w:line="320" w:lineRule="exact"/>
              <w:jc w:val="center"/>
              <w:rPr>
                <w:kern w:val="0"/>
                <w:sz w:val="18"/>
                <w:szCs w:val="18"/>
              </w:rPr>
            </w:pPr>
            <w:r>
              <w:rPr>
                <w:sz w:val="18"/>
                <w:szCs w:val="18"/>
              </w:rPr>
              <w:t>百万千焦</w:t>
            </w:r>
          </w:p>
        </w:tc>
        <w:tc>
          <w:tcPr>
            <w:tcW w:w="566" w:type="dxa"/>
            <w:tcMar>
              <w:top w:w="0" w:type="dxa"/>
              <w:left w:w="108" w:type="dxa"/>
              <w:bottom w:w="0" w:type="dxa"/>
              <w:right w:w="108" w:type="dxa"/>
            </w:tcMar>
            <w:vAlign w:val="center"/>
          </w:tcPr>
          <w:p>
            <w:pPr>
              <w:widowControl/>
              <w:snapToGrid w:val="0"/>
              <w:spacing w:line="320" w:lineRule="exact"/>
              <w:jc w:val="center"/>
              <w:rPr>
                <w:rFonts w:ascii="宋体" w:hAnsi="宋体" w:cs="宋体"/>
                <w:kern w:val="0"/>
                <w:sz w:val="18"/>
                <w:szCs w:val="18"/>
              </w:rPr>
            </w:pPr>
            <w:r>
              <w:rPr>
                <w:rFonts w:ascii="宋体" w:hAnsi="宋体" w:cs="宋体"/>
                <w:kern w:val="0"/>
                <w:sz w:val="18"/>
                <w:szCs w:val="18"/>
              </w:rPr>
              <w:t>01</w:t>
            </w:r>
          </w:p>
          <w:p>
            <w:pPr>
              <w:widowControl/>
              <w:snapToGrid w:val="0"/>
              <w:spacing w:line="320" w:lineRule="exact"/>
              <w:jc w:val="center"/>
              <w:rPr>
                <w:rFonts w:ascii="宋体" w:hAnsi="宋体" w:cs="宋体"/>
                <w:kern w:val="0"/>
                <w:sz w:val="18"/>
                <w:szCs w:val="18"/>
              </w:rPr>
            </w:pPr>
            <w:r>
              <w:rPr>
                <w:rFonts w:ascii="宋体" w:hAnsi="宋体" w:cs="宋体"/>
                <w:kern w:val="0"/>
                <w:sz w:val="18"/>
                <w:szCs w:val="18"/>
              </w:rPr>
              <w:t>02</w:t>
            </w:r>
          </w:p>
          <w:p>
            <w:pPr>
              <w:widowControl/>
              <w:snapToGrid w:val="0"/>
              <w:spacing w:line="320" w:lineRule="exact"/>
              <w:jc w:val="center"/>
              <w:rPr>
                <w:rFonts w:ascii="宋体" w:hAnsi="宋体" w:cs="宋体"/>
                <w:kern w:val="0"/>
                <w:sz w:val="18"/>
                <w:szCs w:val="18"/>
              </w:rPr>
            </w:pPr>
            <w:r>
              <w:rPr>
                <w:rFonts w:ascii="宋体" w:hAnsi="宋体" w:cs="宋体"/>
                <w:kern w:val="0"/>
                <w:sz w:val="18"/>
                <w:szCs w:val="18"/>
              </w:rPr>
              <w:t>03</w:t>
            </w:r>
          </w:p>
          <w:p>
            <w:pPr>
              <w:widowControl/>
              <w:snapToGrid w:val="0"/>
              <w:spacing w:line="320" w:lineRule="exact"/>
              <w:jc w:val="center"/>
              <w:rPr>
                <w:rFonts w:ascii="宋体" w:hAnsi="宋体" w:cs="宋体"/>
                <w:kern w:val="0"/>
                <w:sz w:val="18"/>
                <w:szCs w:val="18"/>
              </w:rPr>
            </w:pPr>
            <w:r>
              <w:rPr>
                <w:rFonts w:ascii="宋体" w:hAnsi="宋体" w:cs="宋体"/>
                <w:kern w:val="0"/>
                <w:sz w:val="18"/>
                <w:szCs w:val="18"/>
              </w:rPr>
              <w:t>04</w:t>
            </w:r>
          </w:p>
          <w:p>
            <w:pPr>
              <w:widowControl/>
              <w:snapToGrid w:val="0"/>
              <w:spacing w:line="320" w:lineRule="exact"/>
              <w:jc w:val="center"/>
              <w:rPr>
                <w:rFonts w:ascii="宋体" w:hAnsi="宋体" w:cs="宋体"/>
                <w:kern w:val="0"/>
                <w:sz w:val="18"/>
                <w:szCs w:val="18"/>
              </w:rPr>
            </w:pPr>
            <w:r>
              <w:rPr>
                <w:rFonts w:ascii="宋体" w:hAnsi="宋体" w:cs="宋体"/>
                <w:kern w:val="0"/>
                <w:sz w:val="18"/>
                <w:szCs w:val="18"/>
              </w:rPr>
              <w:t>05</w:t>
            </w:r>
          </w:p>
          <w:p>
            <w:pPr>
              <w:widowControl/>
              <w:snapToGrid w:val="0"/>
              <w:spacing w:line="320" w:lineRule="exact"/>
              <w:jc w:val="center"/>
              <w:rPr>
                <w:rFonts w:ascii="宋体" w:hAnsi="宋体" w:cs="宋体"/>
                <w:kern w:val="0"/>
                <w:sz w:val="18"/>
                <w:szCs w:val="18"/>
              </w:rPr>
            </w:pPr>
            <w:r>
              <w:rPr>
                <w:rFonts w:ascii="宋体" w:hAnsi="宋体" w:cs="宋体"/>
                <w:kern w:val="0"/>
                <w:sz w:val="18"/>
                <w:szCs w:val="18"/>
              </w:rPr>
              <w:t>06</w:t>
            </w:r>
          </w:p>
          <w:p>
            <w:pPr>
              <w:widowControl/>
              <w:snapToGrid w:val="0"/>
              <w:spacing w:line="320" w:lineRule="exact"/>
              <w:jc w:val="center"/>
              <w:rPr>
                <w:rFonts w:ascii="宋体" w:hAnsi="宋体" w:cs="宋体"/>
                <w:kern w:val="0"/>
                <w:sz w:val="18"/>
                <w:szCs w:val="18"/>
              </w:rPr>
            </w:pPr>
            <w:r>
              <w:rPr>
                <w:rFonts w:ascii="宋体" w:hAnsi="宋体" w:cs="宋体"/>
                <w:kern w:val="0"/>
                <w:sz w:val="18"/>
                <w:szCs w:val="18"/>
              </w:rPr>
              <w:t>07</w:t>
            </w:r>
          </w:p>
          <w:p>
            <w:pPr>
              <w:widowControl/>
              <w:snapToGrid w:val="0"/>
              <w:spacing w:line="320" w:lineRule="exact"/>
              <w:jc w:val="center"/>
              <w:rPr>
                <w:rFonts w:ascii="宋体" w:hAnsi="宋体" w:cs="宋体"/>
                <w:kern w:val="0"/>
                <w:sz w:val="18"/>
                <w:szCs w:val="18"/>
              </w:rPr>
            </w:pPr>
            <w:r>
              <w:rPr>
                <w:rFonts w:ascii="宋体" w:hAnsi="宋体" w:cs="宋体"/>
                <w:kern w:val="0"/>
                <w:sz w:val="18"/>
                <w:szCs w:val="18"/>
              </w:rPr>
              <w:t>08</w:t>
            </w:r>
          </w:p>
          <w:p>
            <w:pPr>
              <w:widowControl/>
              <w:snapToGrid w:val="0"/>
              <w:spacing w:line="320" w:lineRule="exact"/>
              <w:jc w:val="center"/>
              <w:rPr>
                <w:rFonts w:ascii="宋体" w:hAnsi="宋体" w:cs="宋体"/>
                <w:kern w:val="0"/>
                <w:sz w:val="18"/>
                <w:szCs w:val="18"/>
              </w:rPr>
            </w:pPr>
            <w:r>
              <w:rPr>
                <w:rFonts w:ascii="宋体" w:hAnsi="宋体" w:cs="宋体"/>
                <w:kern w:val="0"/>
                <w:sz w:val="18"/>
                <w:szCs w:val="18"/>
              </w:rPr>
              <w:t>09</w:t>
            </w:r>
          </w:p>
          <w:p>
            <w:pPr>
              <w:widowControl/>
              <w:snapToGrid w:val="0"/>
              <w:spacing w:line="320" w:lineRule="exact"/>
              <w:jc w:val="center"/>
              <w:rPr>
                <w:rFonts w:ascii="宋体" w:hAnsi="宋体" w:cs="宋体"/>
                <w:kern w:val="0"/>
                <w:sz w:val="18"/>
                <w:szCs w:val="18"/>
              </w:rPr>
            </w:pPr>
            <w:r>
              <w:rPr>
                <w:rFonts w:ascii="宋体" w:hAnsi="宋体" w:cs="宋体"/>
                <w:kern w:val="0"/>
                <w:sz w:val="18"/>
                <w:szCs w:val="18"/>
              </w:rPr>
              <w:t>10</w:t>
            </w:r>
          </w:p>
          <w:p>
            <w:pPr>
              <w:widowControl/>
              <w:snapToGrid w:val="0"/>
              <w:spacing w:line="320" w:lineRule="exact"/>
              <w:jc w:val="center"/>
              <w:rPr>
                <w:rFonts w:ascii="宋体" w:hAnsi="宋体" w:cs="宋体"/>
                <w:kern w:val="0"/>
                <w:sz w:val="18"/>
                <w:szCs w:val="18"/>
              </w:rPr>
            </w:pPr>
            <w:r>
              <w:rPr>
                <w:rFonts w:ascii="宋体" w:hAnsi="宋体" w:cs="宋体"/>
                <w:kern w:val="0"/>
                <w:sz w:val="18"/>
                <w:szCs w:val="18"/>
              </w:rPr>
              <w:t>11</w:t>
            </w:r>
          </w:p>
        </w:tc>
        <w:tc>
          <w:tcPr>
            <w:tcW w:w="3919" w:type="dxa"/>
            <w:gridSpan w:val="4"/>
            <w:tcMar>
              <w:top w:w="0" w:type="dxa"/>
              <w:left w:w="0" w:type="dxa"/>
              <w:bottom w:w="0" w:type="dxa"/>
              <w:right w:w="0" w:type="dxa"/>
            </w:tcMar>
          </w:tcPr>
          <w:p>
            <w:pPr>
              <w:adjustRightInd w:val="0"/>
              <w:snapToGrid w:val="0"/>
              <w:ind w:firstLine="90" w:firstLineChars="50"/>
              <w:rPr>
                <w:sz w:val="18"/>
                <w:szCs w:val="18"/>
              </w:rPr>
            </w:pPr>
          </w:p>
        </w:tc>
        <w:tc>
          <w:tcPr>
            <w:tcW w:w="2545" w:type="dxa"/>
          </w:tcPr>
          <w:p>
            <w:pPr>
              <w:adjustRightInd w:val="0"/>
              <w:snapToGrid w:val="0"/>
              <w:spacing w:line="320" w:lineRule="exact"/>
              <w:ind w:firstLine="90" w:firstLineChars="50"/>
              <w:rPr>
                <w:rFonts w:ascii="宋体" w:hAnsi="宋体" w:cs="宋体"/>
                <w:sz w:val="18"/>
                <w:szCs w:val="18"/>
              </w:rPr>
            </w:pPr>
            <w:r>
              <w:rPr>
                <w:rFonts w:hint="eastAsia" w:ascii="宋体" w:hAnsi="宋体" w:cs="宋体"/>
                <w:sz w:val="18"/>
                <w:szCs w:val="18"/>
              </w:rPr>
              <w:t>0.1229千克标准煤/千瓦时</w:t>
            </w:r>
          </w:p>
          <w:p>
            <w:pPr>
              <w:adjustRightInd w:val="0"/>
              <w:snapToGrid w:val="0"/>
              <w:spacing w:line="320" w:lineRule="exact"/>
              <w:ind w:firstLine="90" w:firstLineChars="50"/>
              <w:rPr>
                <w:rFonts w:ascii="宋体" w:hAnsi="宋体" w:cs="宋体"/>
                <w:sz w:val="18"/>
                <w:szCs w:val="18"/>
              </w:rPr>
            </w:pPr>
            <w:r>
              <w:rPr>
                <w:rFonts w:hint="eastAsia" w:ascii="宋体" w:hAnsi="宋体" w:cs="宋体"/>
                <w:sz w:val="18"/>
                <w:szCs w:val="18"/>
              </w:rPr>
              <w:t>0.7143吨标准煤/吨</w:t>
            </w:r>
          </w:p>
          <w:p>
            <w:pPr>
              <w:adjustRightInd w:val="0"/>
              <w:snapToGrid w:val="0"/>
              <w:spacing w:line="320" w:lineRule="exact"/>
              <w:ind w:firstLine="90" w:firstLineChars="50"/>
              <w:rPr>
                <w:rFonts w:ascii="宋体" w:hAnsi="宋体" w:cs="宋体"/>
                <w:sz w:val="18"/>
                <w:szCs w:val="18"/>
              </w:rPr>
            </w:pPr>
            <w:r>
              <w:rPr>
                <w:rFonts w:hint="eastAsia" w:ascii="宋体" w:hAnsi="宋体" w:cs="宋体"/>
                <w:sz w:val="18"/>
                <w:szCs w:val="18"/>
              </w:rPr>
              <w:t>0.9714吨标准煤/吨</w:t>
            </w:r>
          </w:p>
          <w:p>
            <w:pPr>
              <w:adjustRightInd w:val="0"/>
              <w:snapToGrid w:val="0"/>
              <w:spacing w:line="320" w:lineRule="exact"/>
              <w:ind w:firstLine="90" w:firstLineChars="50"/>
              <w:rPr>
                <w:rFonts w:ascii="宋体" w:hAnsi="宋体" w:cs="宋体"/>
                <w:sz w:val="18"/>
                <w:szCs w:val="18"/>
              </w:rPr>
            </w:pPr>
            <w:r>
              <w:rPr>
                <w:rFonts w:hint="eastAsia" w:ascii="宋体" w:hAnsi="宋体" w:cs="宋体"/>
                <w:sz w:val="18"/>
                <w:szCs w:val="18"/>
              </w:rPr>
              <w:t>0.5714千克标准煤/立方米</w:t>
            </w:r>
          </w:p>
          <w:p>
            <w:pPr>
              <w:adjustRightInd w:val="0"/>
              <w:snapToGrid w:val="0"/>
              <w:spacing w:line="320" w:lineRule="exact"/>
              <w:ind w:firstLine="90" w:firstLineChars="50"/>
              <w:rPr>
                <w:rFonts w:ascii="宋体" w:hAnsi="宋体" w:cs="宋体"/>
                <w:sz w:val="18"/>
                <w:szCs w:val="18"/>
              </w:rPr>
            </w:pPr>
            <w:r>
              <w:rPr>
                <w:rFonts w:hint="eastAsia" w:ascii="宋体" w:hAnsi="宋体" w:cs="宋体"/>
                <w:sz w:val="18"/>
                <w:szCs w:val="18"/>
              </w:rPr>
              <w:t>1.33千克标准煤/立方米</w:t>
            </w:r>
          </w:p>
          <w:p>
            <w:pPr>
              <w:adjustRightInd w:val="0"/>
              <w:snapToGrid w:val="0"/>
              <w:spacing w:line="320" w:lineRule="exact"/>
              <w:ind w:firstLine="90" w:firstLineChars="50"/>
              <w:rPr>
                <w:rFonts w:ascii="宋体" w:hAnsi="宋体" w:cs="宋体"/>
                <w:sz w:val="18"/>
                <w:szCs w:val="18"/>
              </w:rPr>
            </w:pPr>
            <w:r>
              <w:rPr>
                <w:rFonts w:hint="eastAsia" w:ascii="宋体" w:hAnsi="宋体" w:cs="宋体"/>
                <w:sz w:val="18"/>
                <w:szCs w:val="18"/>
              </w:rPr>
              <w:t>1.7143吨标准煤/吨</w:t>
            </w:r>
          </w:p>
          <w:p>
            <w:pPr>
              <w:adjustRightInd w:val="0"/>
              <w:snapToGrid w:val="0"/>
              <w:spacing w:line="320" w:lineRule="exact"/>
              <w:ind w:firstLine="90" w:firstLineChars="50"/>
              <w:rPr>
                <w:rFonts w:ascii="宋体" w:hAnsi="宋体" w:cs="宋体"/>
                <w:sz w:val="18"/>
                <w:szCs w:val="18"/>
              </w:rPr>
            </w:pPr>
            <w:r>
              <w:rPr>
                <w:rFonts w:hint="eastAsia" w:ascii="宋体" w:hAnsi="宋体" w:cs="宋体"/>
                <w:sz w:val="18"/>
                <w:szCs w:val="18"/>
              </w:rPr>
              <w:t>1.4714吨标准煤/吨</w:t>
            </w:r>
          </w:p>
          <w:p>
            <w:pPr>
              <w:adjustRightInd w:val="0"/>
              <w:snapToGrid w:val="0"/>
              <w:spacing w:line="320" w:lineRule="exact"/>
              <w:ind w:firstLine="90" w:firstLineChars="50"/>
              <w:rPr>
                <w:rFonts w:ascii="宋体" w:hAnsi="宋体" w:cs="宋体"/>
                <w:sz w:val="18"/>
                <w:szCs w:val="18"/>
              </w:rPr>
            </w:pPr>
            <w:r>
              <w:rPr>
                <w:rFonts w:hint="eastAsia" w:ascii="宋体" w:hAnsi="宋体" w:cs="宋体"/>
                <w:sz w:val="18"/>
                <w:szCs w:val="18"/>
              </w:rPr>
              <w:t>1.4714吨标准煤/吨</w:t>
            </w:r>
          </w:p>
          <w:p>
            <w:pPr>
              <w:adjustRightInd w:val="0"/>
              <w:snapToGrid w:val="0"/>
              <w:spacing w:line="320" w:lineRule="exact"/>
              <w:ind w:firstLine="90" w:firstLineChars="50"/>
              <w:rPr>
                <w:rFonts w:ascii="宋体" w:hAnsi="宋体" w:cs="宋体"/>
                <w:sz w:val="18"/>
                <w:szCs w:val="18"/>
              </w:rPr>
            </w:pPr>
            <w:r>
              <w:rPr>
                <w:rFonts w:hint="eastAsia" w:ascii="宋体" w:hAnsi="宋体" w:cs="宋体"/>
                <w:sz w:val="18"/>
                <w:szCs w:val="18"/>
              </w:rPr>
              <w:t>1.4571吨标准煤/吨</w:t>
            </w:r>
          </w:p>
          <w:p>
            <w:pPr>
              <w:adjustRightInd w:val="0"/>
              <w:snapToGrid w:val="0"/>
              <w:spacing w:line="320" w:lineRule="exact"/>
              <w:ind w:firstLine="90" w:firstLineChars="50"/>
              <w:rPr>
                <w:rFonts w:ascii="宋体" w:hAnsi="宋体" w:cs="宋体"/>
                <w:sz w:val="18"/>
                <w:szCs w:val="18"/>
              </w:rPr>
            </w:pPr>
            <w:r>
              <w:rPr>
                <w:rFonts w:hint="eastAsia" w:ascii="宋体" w:hAnsi="宋体" w:cs="宋体"/>
                <w:sz w:val="18"/>
                <w:szCs w:val="18"/>
              </w:rPr>
              <w:t>1.4286吨标准煤/吨</w:t>
            </w:r>
          </w:p>
          <w:p>
            <w:pPr>
              <w:adjustRightInd w:val="0"/>
              <w:snapToGrid w:val="0"/>
              <w:spacing w:line="320" w:lineRule="exact"/>
              <w:ind w:firstLine="90" w:firstLineChars="50"/>
              <w:rPr>
                <w:sz w:val="18"/>
                <w:szCs w:val="18"/>
              </w:rPr>
            </w:pPr>
            <w:r>
              <w:rPr>
                <w:rFonts w:hint="eastAsia" w:ascii="宋体" w:hAnsi="宋体" w:cs="宋体"/>
                <w:sz w:val="18"/>
                <w:szCs w:val="18"/>
              </w:rPr>
              <w:t>0.0341吨标准煤/百万千焦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cantSplit/>
          <w:trHeight w:val="293" w:hRule="atLeast"/>
          <w:jc w:val="center"/>
        </w:trPr>
        <w:tc>
          <w:tcPr>
            <w:tcW w:w="1317" w:type="dxa"/>
            <w:vAlign w:val="center"/>
          </w:tcPr>
          <w:p>
            <w:pPr>
              <w:adjustRightInd w:val="0"/>
              <w:snapToGrid w:val="0"/>
              <w:ind w:firstLine="90" w:firstLineChars="50"/>
              <w:rPr>
                <w:sz w:val="18"/>
                <w:szCs w:val="18"/>
              </w:rPr>
            </w:pPr>
            <w:r>
              <w:rPr>
                <w:sz w:val="18"/>
                <w:szCs w:val="18"/>
              </w:rPr>
              <w:t>能源合计</w:t>
            </w:r>
          </w:p>
        </w:tc>
        <w:tc>
          <w:tcPr>
            <w:tcW w:w="1121" w:type="dxa"/>
            <w:tcMar>
              <w:left w:w="108" w:type="dxa"/>
              <w:right w:w="108" w:type="dxa"/>
            </w:tcMar>
            <w:vAlign w:val="center"/>
          </w:tcPr>
          <w:p>
            <w:pPr>
              <w:widowControl/>
              <w:snapToGrid w:val="0"/>
              <w:jc w:val="center"/>
              <w:rPr>
                <w:kern w:val="0"/>
                <w:sz w:val="18"/>
                <w:szCs w:val="18"/>
              </w:rPr>
            </w:pPr>
            <w:r>
              <w:rPr>
                <w:kern w:val="0"/>
                <w:sz w:val="18"/>
                <w:szCs w:val="18"/>
              </w:rPr>
              <w:t>吨标准煤</w:t>
            </w:r>
          </w:p>
        </w:tc>
        <w:tc>
          <w:tcPr>
            <w:tcW w:w="566" w:type="dxa"/>
            <w:tcMar>
              <w:top w:w="0" w:type="dxa"/>
              <w:left w:w="108" w:type="dxa"/>
              <w:bottom w:w="0" w:type="dxa"/>
              <w:right w:w="108" w:type="dxa"/>
            </w:tcMar>
            <w:vAlign w:val="center"/>
          </w:tcPr>
          <w:p>
            <w:pPr>
              <w:widowControl/>
              <w:snapToGrid w:val="0"/>
              <w:jc w:val="center"/>
              <w:rPr>
                <w:rFonts w:ascii="宋体" w:hAnsi="宋体" w:cs="宋体"/>
                <w:kern w:val="0"/>
                <w:sz w:val="18"/>
                <w:szCs w:val="18"/>
              </w:rPr>
            </w:pPr>
            <w:r>
              <w:rPr>
                <w:rFonts w:ascii="宋体" w:hAnsi="宋体" w:cs="宋体"/>
                <w:kern w:val="0"/>
                <w:sz w:val="18"/>
                <w:szCs w:val="18"/>
              </w:rPr>
              <w:t>12</w:t>
            </w:r>
          </w:p>
        </w:tc>
        <w:tc>
          <w:tcPr>
            <w:tcW w:w="913" w:type="dxa"/>
            <w:tcMar>
              <w:top w:w="0" w:type="dxa"/>
              <w:left w:w="0" w:type="dxa"/>
              <w:bottom w:w="0" w:type="dxa"/>
              <w:right w:w="0" w:type="dxa"/>
            </w:tcMar>
            <w:vAlign w:val="center"/>
          </w:tcPr>
          <w:p>
            <w:pPr>
              <w:widowControl/>
              <w:jc w:val="center"/>
              <w:rPr>
                <w:sz w:val="18"/>
                <w:szCs w:val="18"/>
              </w:rPr>
            </w:pPr>
          </w:p>
        </w:tc>
        <w:tc>
          <w:tcPr>
            <w:tcW w:w="1004" w:type="dxa"/>
            <w:tcMar>
              <w:top w:w="0" w:type="dxa"/>
              <w:left w:w="108" w:type="dxa"/>
              <w:bottom w:w="0" w:type="dxa"/>
              <w:right w:w="108" w:type="dxa"/>
            </w:tcMar>
            <w:vAlign w:val="center"/>
          </w:tcPr>
          <w:p>
            <w:pPr>
              <w:widowControl/>
              <w:jc w:val="center"/>
              <w:rPr>
                <w:sz w:val="18"/>
                <w:szCs w:val="18"/>
              </w:rPr>
            </w:pPr>
            <w:r>
              <w:rPr>
                <w:sz w:val="18"/>
                <w:szCs w:val="18"/>
              </w:rPr>
              <w:t>－</w:t>
            </w:r>
          </w:p>
        </w:tc>
        <w:tc>
          <w:tcPr>
            <w:tcW w:w="1000" w:type="dxa"/>
            <w:vAlign w:val="center"/>
          </w:tcPr>
          <w:p>
            <w:pPr>
              <w:widowControl/>
              <w:jc w:val="center"/>
              <w:rPr>
                <w:sz w:val="18"/>
                <w:szCs w:val="18"/>
              </w:rPr>
            </w:pPr>
          </w:p>
        </w:tc>
        <w:tc>
          <w:tcPr>
            <w:tcW w:w="1002" w:type="dxa"/>
            <w:vAlign w:val="center"/>
          </w:tcPr>
          <w:p>
            <w:pPr>
              <w:jc w:val="center"/>
              <w:rPr>
                <w:sz w:val="18"/>
                <w:szCs w:val="18"/>
              </w:rPr>
            </w:pPr>
            <w:r>
              <w:rPr>
                <w:sz w:val="18"/>
                <w:szCs w:val="18"/>
              </w:rPr>
              <w:t>－</w:t>
            </w:r>
          </w:p>
        </w:tc>
        <w:tc>
          <w:tcPr>
            <w:tcW w:w="2545" w:type="dxa"/>
            <w:vAlign w:val="center"/>
          </w:tcPr>
          <w:p>
            <w:pPr>
              <w:jc w:val="center"/>
              <w:rPr>
                <w:sz w:val="18"/>
                <w:szCs w:val="18"/>
              </w:rPr>
            </w:pPr>
            <w:r>
              <w:rPr>
                <w:sz w:val="18"/>
                <w:szCs w:val="18"/>
              </w:rPr>
              <w:t>－</w:t>
            </w:r>
          </w:p>
        </w:tc>
      </w:tr>
    </w:tbl>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tabs>
          <w:tab w:val="left" w:pos="5430"/>
        </w:tabs>
        <w:adjustRightInd w:val="0"/>
        <w:ind w:right="-38" w:rightChars="-18"/>
        <w:rPr>
          <w:b/>
          <w:sz w:val="18"/>
          <w:szCs w:val="18"/>
        </w:rPr>
      </w:pPr>
    </w:p>
    <w:p>
      <w:pPr>
        <w:spacing w:line="280" w:lineRule="exact"/>
        <w:ind w:left="1530" w:hanging="1530" w:hangingChars="850"/>
        <w:rPr>
          <w:rFonts w:ascii="宋体" w:hAnsi="宋体" w:cs="宋体"/>
          <w:sz w:val="18"/>
          <w:szCs w:val="18"/>
        </w:rPr>
      </w:pPr>
      <w:r>
        <w:rPr>
          <w:sz w:val="18"/>
          <w:szCs w:val="18"/>
        </w:rPr>
        <w:t>说明：</w:t>
      </w:r>
      <w:r>
        <w:rPr>
          <w:rFonts w:hint="eastAsia" w:ascii="宋体" w:hAnsi="宋体" w:cs="宋体"/>
          <w:sz w:val="18"/>
          <w:szCs w:val="18"/>
        </w:rPr>
        <w:t>1.统计范围：辖区内年综合能源消费量1万吨标准煤及以上的有资质的建筑业、限额以上批发和零售业、限额以</w:t>
      </w:r>
    </w:p>
    <w:p>
      <w:pPr>
        <w:spacing w:line="280" w:lineRule="exact"/>
        <w:ind w:left="1606" w:leftChars="765" w:firstLine="18" w:firstLineChars="10"/>
        <w:rPr>
          <w:rFonts w:ascii="宋体" w:hAnsi="宋体" w:cs="宋体"/>
          <w:sz w:val="18"/>
          <w:szCs w:val="18"/>
        </w:rPr>
      </w:pPr>
      <w:r>
        <w:rPr>
          <w:rFonts w:hint="eastAsia" w:ascii="宋体" w:hAnsi="宋体" w:cs="宋体"/>
          <w:sz w:val="18"/>
          <w:szCs w:val="18"/>
        </w:rPr>
        <w:t>上住宿和餐饮业、有开发经营活动的全部房地产开发经营业和规模以上服务业法人单位。</w:t>
      </w:r>
    </w:p>
    <w:p>
      <w:pPr>
        <w:numPr>
          <w:ins w:id="1" w:author="說鳯晤鱊" w:date="2019-11-12T16:25:00Z"/>
        </w:numPr>
        <w:spacing w:line="280" w:lineRule="exact"/>
        <w:ind w:left="0" w:leftChars="0" w:firstLine="540" w:firstLineChars="300"/>
        <w:rPr>
          <w:rFonts w:ascii="宋体" w:hAnsi="宋体" w:cs="宋体"/>
          <w:sz w:val="18"/>
          <w:szCs w:val="18"/>
        </w:rPr>
      </w:pPr>
      <w:r>
        <w:rPr>
          <w:rFonts w:hint="eastAsia" w:ascii="宋体" w:hAnsi="宋体" w:cs="宋体"/>
          <w:sz w:val="18"/>
          <w:szCs w:val="18"/>
        </w:rPr>
        <w:t>2.</w:t>
      </w:r>
      <w:r>
        <w:rPr>
          <w:rFonts w:hint="eastAsia" w:ascii="宋体" w:hAnsi="宋体" w:cs="宋体"/>
          <w:sz w:val="18"/>
          <w:szCs w:val="18"/>
        </w:rPr>
        <w:t>报送日期及方式：调查单位</w:t>
      </w:r>
      <w:r>
        <w:rPr>
          <w:rFonts w:hint="eastAsia" w:ascii="宋体" w:hAnsi="宋体" w:cs="宋体"/>
          <w:sz w:val="18"/>
          <w:szCs w:val="18"/>
        </w:rPr>
        <w:t>一、二季度季后10日，三、四季度季后12日12:00</w:t>
      </w:r>
      <w:r>
        <w:rPr>
          <w:rFonts w:ascii="宋体" w:hAnsi="宋体" w:cs="宋体"/>
          <w:sz w:val="18"/>
          <w:szCs w:val="18"/>
        </w:rPr>
        <w:t>前</w:t>
      </w:r>
      <w:r>
        <w:rPr>
          <w:rFonts w:hint="eastAsia" w:ascii="宋体" w:hAnsi="宋体" w:cs="宋体"/>
          <w:sz w:val="18"/>
        </w:rPr>
        <w:t>独立自行</w:t>
      </w:r>
      <w:r>
        <w:rPr>
          <w:rFonts w:hint="eastAsia" w:ascii="宋体" w:hAnsi="宋体" w:cs="宋体"/>
          <w:sz w:val="18"/>
          <w:szCs w:val="18"/>
        </w:rPr>
        <w:t>网上填报；</w:t>
      </w:r>
      <w:r>
        <w:rPr>
          <w:rFonts w:hint="eastAsia" w:ascii="宋体" w:hAnsi="宋体" w:cs="宋体"/>
          <w:sz w:val="18"/>
          <w:szCs w:val="18"/>
        </w:rPr>
        <w:t>市</w:t>
      </w:r>
      <w:r>
        <w:rPr>
          <w:rFonts w:hint="eastAsia" w:ascii="宋体" w:hAnsi="宋体" w:cs="宋体"/>
          <w:sz w:val="18"/>
          <w:szCs w:val="18"/>
        </w:rPr>
        <w:t>级统</w:t>
      </w:r>
    </w:p>
    <w:p>
      <w:pPr>
        <w:spacing w:line="280" w:lineRule="exact"/>
        <w:ind w:left="2029" w:leftChars="229" w:hanging="1548" w:hangingChars="860"/>
        <w:rPr>
          <w:rFonts w:ascii="宋体" w:hAnsi="宋体" w:cs="宋体"/>
          <w:sz w:val="18"/>
          <w:szCs w:val="18"/>
        </w:rPr>
      </w:pPr>
      <w:r>
        <w:rPr>
          <w:rFonts w:hint="eastAsia" w:ascii="宋体" w:hAnsi="宋体" w:cs="宋体"/>
          <w:sz w:val="18"/>
          <w:szCs w:val="18"/>
        </w:rPr>
        <w:t xml:space="preserve">                   计机构季后13日12:00前完成审核、验收、上报。</w:t>
      </w:r>
    </w:p>
    <w:p>
      <w:pPr>
        <w:numPr>
          <w:ins w:id="2" w:author="說鳯晤鱊" w:date="2019-11-12T16:29:00Z"/>
        </w:numPr>
        <w:spacing w:line="280" w:lineRule="exact"/>
        <w:ind w:left="0" w:leftChars="0" w:firstLine="540" w:firstLineChars="300"/>
        <w:rPr>
          <w:rFonts w:ascii="宋体" w:hAnsi="宋体" w:cs="宋体"/>
          <w:bCs/>
          <w:kern w:val="0"/>
          <w:sz w:val="18"/>
          <w:szCs w:val="18"/>
        </w:rPr>
      </w:pPr>
      <w:r>
        <w:rPr>
          <w:rFonts w:hint="eastAsia" w:ascii="宋体" w:hAnsi="宋体" w:cs="宋体"/>
          <w:bCs/>
          <w:kern w:val="0"/>
          <w:sz w:val="18"/>
          <w:szCs w:val="18"/>
        </w:rPr>
        <w:t>3.</w:t>
      </w:r>
      <w:r>
        <w:rPr>
          <w:rFonts w:hint="eastAsia" w:ascii="宋体" w:hAnsi="宋体" w:cs="宋体"/>
          <w:bCs/>
          <w:kern w:val="0"/>
          <w:sz w:val="18"/>
          <w:szCs w:val="18"/>
        </w:rPr>
        <w:t>本表中“上年同期”数据统一由国家统计局在数据处理软件中复制，调查单位和各级统计机构原则上不得修改；</w:t>
      </w:r>
    </w:p>
    <w:p>
      <w:pPr>
        <w:tabs>
          <w:tab w:val="left" w:pos="786"/>
        </w:tabs>
        <w:spacing w:line="280" w:lineRule="exact"/>
        <w:ind w:left="0" w:leftChars="0" w:firstLine="720" w:firstLineChars="400"/>
        <w:rPr>
          <w:rFonts w:ascii="宋体" w:hAnsi="宋体" w:cs="宋体"/>
          <w:bCs/>
          <w:kern w:val="0"/>
          <w:sz w:val="18"/>
          <w:szCs w:val="18"/>
        </w:rPr>
      </w:pPr>
      <w:r>
        <w:rPr>
          <w:rFonts w:hint="eastAsia" w:ascii="宋体" w:hAnsi="宋体" w:cs="宋体"/>
          <w:bCs/>
          <w:kern w:val="0"/>
          <w:sz w:val="18"/>
          <w:szCs w:val="18"/>
        </w:rPr>
        <w:t>本年新增的调查单位自行填报“上年同期”数据；涉及兼并、重组等情况的企业，经国家统计局批准后，调查</w:t>
      </w:r>
    </w:p>
    <w:p>
      <w:pPr>
        <w:tabs>
          <w:tab w:val="left" w:pos="786"/>
        </w:tabs>
        <w:spacing w:line="280" w:lineRule="exact"/>
        <w:ind w:left="0" w:leftChars="0" w:firstLine="720" w:firstLineChars="400"/>
        <w:rPr>
          <w:rFonts w:ascii="宋体" w:hAnsi="宋体" w:cs="宋体"/>
          <w:bCs/>
          <w:kern w:val="0"/>
          <w:sz w:val="18"/>
          <w:szCs w:val="18"/>
        </w:rPr>
      </w:pPr>
      <w:r>
        <w:rPr>
          <w:rFonts w:hint="eastAsia" w:ascii="宋体" w:hAnsi="宋体" w:cs="宋体"/>
          <w:bCs/>
          <w:kern w:val="0"/>
          <w:sz w:val="18"/>
          <w:szCs w:val="18"/>
        </w:rPr>
        <w:t>单位可调整同期数；本年新增指标的同期数由调查单位自行填报。</w:t>
      </w:r>
    </w:p>
    <w:p>
      <w:pPr>
        <w:spacing w:line="280" w:lineRule="exact"/>
        <w:ind w:left="660" w:leftChars="250" w:hanging="135" w:hangingChars="75"/>
        <w:rPr>
          <w:rFonts w:ascii="宋体" w:hAnsi="宋体" w:cs="宋体"/>
          <w:sz w:val="18"/>
          <w:szCs w:val="18"/>
        </w:rPr>
      </w:pPr>
      <w:r>
        <w:rPr>
          <w:rFonts w:hint="eastAsia" w:ascii="宋体" w:hAnsi="宋体" w:cs="宋体"/>
          <w:sz w:val="18"/>
          <w:szCs w:val="18"/>
        </w:rPr>
        <w:t>4.油品重量单位与容积单位的换算关系：</w:t>
      </w:r>
    </w:p>
    <w:p>
      <w:pPr>
        <w:spacing w:line="280" w:lineRule="exact"/>
        <w:ind w:left="672" w:leftChars="320"/>
        <w:rPr>
          <w:rFonts w:ascii="宋体" w:hAnsi="宋体" w:cs="宋体"/>
          <w:sz w:val="18"/>
          <w:szCs w:val="18"/>
        </w:rPr>
      </w:pPr>
      <w:r>
        <w:rPr>
          <w:rFonts w:hint="eastAsia" w:ascii="宋体" w:hAnsi="宋体" w:cs="宋体"/>
          <w:sz w:val="18"/>
          <w:szCs w:val="18"/>
        </w:rPr>
        <w:t>(1)汽</w:t>
      </w:r>
      <w:r>
        <w:rPr>
          <w:rFonts w:ascii="宋体" w:hAnsi="宋体" w:cs="宋体"/>
          <w:sz w:val="18"/>
          <w:szCs w:val="18"/>
        </w:rPr>
        <w:t xml:space="preserve">  </w:t>
      </w:r>
      <w:r>
        <w:rPr>
          <w:rFonts w:hint="eastAsia" w:ascii="宋体" w:hAnsi="宋体" w:cs="宋体"/>
          <w:sz w:val="18"/>
          <w:szCs w:val="18"/>
        </w:rPr>
        <w:t>油：1升=0.73千克=0.00073吨</w:t>
      </w:r>
    </w:p>
    <w:p>
      <w:pPr>
        <w:spacing w:line="280" w:lineRule="exact"/>
        <w:ind w:left="672" w:leftChars="320"/>
        <w:rPr>
          <w:rFonts w:ascii="宋体" w:hAnsi="宋体" w:cs="宋体"/>
          <w:sz w:val="18"/>
          <w:szCs w:val="18"/>
        </w:rPr>
      </w:pPr>
      <w:r>
        <w:rPr>
          <w:rFonts w:hint="eastAsia" w:ascii="宋体" w:hAnsi="宋体" w:cs="宋体"/>
          <w:sz w:val="18"/>
          <w:szCs w:val="18"/>
        </w:rPr>
        <w:t>(2)轻柴油：1升=0.86千克=0.00086吨</w:t>
      </w:r>
    </w:p>
    <w:p>
      <w:pPr>
        <w:spacing w:line="280" w:lineRule="exact"/>
        <w:ind w:left="672" w:leftChars="320"/>
        <w:rPr>
          <w:rFonts w:ascii="宋体" w:hAnsi="宋体" w:cs="宋体"/>
          <w:sz w:val="18"/>
          <w:szCs w:val="18"/>
        </w:rPr>
      </w:pPr>
      <w:r>
        <w:rPr>
          <w:rFonts w:hint="eastAsia" w:ascii="宋体" w:hAnsi="宋体" w:cs="宋体"/>
          <w:sz w:val="18"/>
          <w:szCs w:val="18"/>
        </w:rPr>
        <w:t>(3)重柴油：1升=0.92千克=0.00092吨</w:t>
      </w:r>
    </w:p>
    <w:p>
      <w:pPr>
        <w:spacing w:line="280" w:lineRule="exact"/>
        <w:ind w:left="672" w:leftChars="320"/>
        <w:rPr>
          <w:rFonts w:ascii="宋体" w:hAnsi="宋体" w:cs="宋体"/>
          <w:sz w:val="18"/>
          <w:szCs w:val="18"/>
        </w:rPr>
      </w:pPr>
      <w:r>
        <w:rPr>
          <w:rFonts w:hint="eastAsia" w:ascii="宋体" w:hAnsi="宋体" w:cs="宋体"/>
          <w:sz w:val="18"/>
          <w:szCs w:val="18"/>
        </w:rPr>
        <w:t>(4)煤</w:t>
      </w:r>
      <w:r>
        <w:rPr>
          <w:rFonts w:ascii="宋体" w:hAnsi="宋体" w:cs="宋体"/>
          <w:sz w:val="18"/>
          <w:szCs w:val="18"/>
        </w:rPr>
        <w:t xml:space="preserve">  </w:t>
      </w:r>
      <w:r>
        <w:rPr>
          <w:rFonts w:hint="eastAsia" w:ascii="宋体" w:hAnsi="宋体" w:cs="宋体"/>
          <w:sz w:val="18"/>
          <w:szCs w:val="18"/>
        </w:rPr>
        <w:t>油：1升=0.82千克=0.00082吨</w:t>
      </w:r>
    </w:p>
    <w:p>
      <w:pPr>
        <w:spacing w:line="280" w:lineRule="exact"/>
        <w:ind w:left="672" w:leftChars="320"/>
        <w:rPr>
          <w:rFonts w:ascii="宋体" w:hAnsi="宋体" w:cs="宋体"/>
          <w:sz w:val="18"/>
          <w:szCs w:val="18"/>
        </w:rPr>
      </w:pPr>
      <w:r>
        <w:rPr>
          <w:rFonts w:hint="eastAsia" w:ascii="宋体" w:hAnsi="宋体" w:cs="宋体"/>
          <w:sz w:val="18"/>
          <w:szCs w:val="18"/>
        </w:rPr>
        <w:t>(5)燃料油：1升=0.91千克=0.00091吨</w:t>
      </w:r>
    </w:p>
    <w:p>
      <w:pPr>
        <w:spacing w:line="280" w:lineRule="exact"/>
        <w:ind w:left="885" w:leftChars="250" w:hanging="360" w:hangingChars="200"/>
        <w:rPr>
          <w:rFonts w:ascii="宋体" w:hAnsi="宋体" w:cs="宋体"/>
          <w:sz w:val="18"/>
          <w:szCs w:val="18"/>
        </w:rPr>
      </w:pPr>
      <w:r>
        <w:rPr>
          <w:rFonts w:hint="eastAsia" w:ascii="宋体" w:hAnsi="宋体" w:cs="宋体"/>
          <w:sz w:val="18"/>
          <w:szCs w:val="18"/>
        </w:rPr>
        <w:t>5.液化天然气与天然气换算关系：</w:t>
      </w:r>
    </w:p>
    <w:p>
      <w:pPr>
        <w:spacing w:line="280" w:lineRule="exact"/>
        <w:ind w:left="1032" w:leftChars="320" w:hanging="360" w:hangingChars="200"/>
        <w:rPr>
          <w:rFonts w:ascii="宋体" w:hAnsi="宋体" w:cs="宋体"/>
          <w:sz w:val="18"/>
          <w:szCs w:val="18"/>
        </w:rPr>
      </w:pPr>
      <w:r>
        <w:rPr>
          <w:rFonts w:hint="eastAsia" w:ascii="宋体" w:hAnsi="宋体" w:cs="宋体"/>
          <w:sz w:val="18"/>
          <w:szCs w:val="18"/>
        </w:rPr>
        <w:t>1千克液化天然气=1.38立方米天然气</w:t>
      </w:r>
    </w:p>
    <w:p>
      <w:pPr>
        <w:spacing w:line="280" w:lineRule="exact"/>
        <w:ind w:left="1032" w:leftChars="320" w:hanging="360" w:hangingChars="200"/>
        <w:rPr>
          <w:rFonts w:ascii="宋体" w:hAnsi="宋体" w:cs="宋体"/>
          <w:sz w:val="18"/>
          <w:szCs w:val="18"/>
        </w:rPr>
      </w:pPr>
      <w:r>
        <w:rPr>
          <w:rFonts w:hint="eastAsia" w:ascii="宋体" w:hAnsi="宋体" w:cs="宋体"/>
          <w:sz w:val="18"/>
          <w:szCs w:val="18"/>
        </w:rPr>
        <w:t>天然气包括液化天然气。</w:t>
      </w:r>
    </w:p>
    <w:p>
      <w:pPr>
        <w:spacing w:line="280" w:lineRule="exact"/>
        <w:ind w:firstLine="630" w:firstLineChars="350"/>
        <w:rPr>
          <w:sz w:val="18"/>
          <w:szCs w:val="18"/>
        </w:rPr>
      </w:pPr>
    </w:p>
    <w:p>
      <w:pPr>
        <w:snapToGrid w:val="0"/>
        <w:spacing w:beforeLines="100" w:afterLines="100"/>
        <w:jc w:val="center"/>
        <w:outlineLvl w:val="2"/>
        <w:rPr>
          <w:sz w:val="32"/>
        </w:rPr>
      </w:pPr>
      <w:r>
        <w:rPr>
          <w:bCs/>
          <w:kern w:val="0"/>
          <w:sz w:val="32"/>
          <w:szCs w:val="32"/>
        </w:rPr>
        <w:br w:type="page"/>
      </w:r>
      <w:r>
        <w:rPr>
          <w:sz w:val="32"/>
        </w:rPr>
        <w:t>能源生产、销售与库存</w:t>
      </w:r>
    </w:p>
    <w:tbl>
      <w:tblPr>
        <w:tblStyle w:val="25"/>
        <w:tblW w:w="9639" w:type="dxa"/>
        <w:jc w:val="center"/>
        <w:tblInd w:w="0" w:type="dxa"/>
        <w:tblLayout w:type="fixed"/>
        <w:tblCellMar>
          <w:top w:w="0" w:type="dxa"/>
          <w:left w:w="108" w:type="dxa"/>
          <w:bottom w:w="0" w:type="dxa"/>
          <w:right w:w="108" w:type="dxa"/>
        </w:tblCellMar>
      </w:tblPr>
      <w:tblGrid>
        <w:gridCol w:w="3013"/>
        <w:gridCol w:w="1774"/>
        <w:gridCol w:w="2124"/>
        <w:gridCol w:w="958"/>
        <w:gridCol w:w="1770"/>
      </w:tblGrid>
      <w:tr>
        <w:tblPrEx>
          <w:tblLayout w:type="fixed"/>
          <w:tblCellMar>
            <w:top w:w="0" w:type="dxa"/>
            <w:left w:w="108" w:type="dxa"/>
            <w:bottom w:w="0" w:type="dxa"/>
            <w:right w:w="108" w:type="dxa"/>
          </w:tblCellMar>
        </w:tblPrEx>
        <w:trPr>
          <w:jc w:val="center"/>
        </w:trPr>
        <w:tc>
          <w:tcPr>
            <w:tcW w:w="4787" w:type="dxa"/>
            <w:gridSpan w:val="2"/>
            <w:tcBorders>
              <w:top w:val="nil"/>
              <w:left w:val="nil"/>
              <w:bottom w:val="nil"/>
              <w:right w:val="nil"/>
            </w:tcBorders>
            <w:tcMar>
              <w:left w:w="28" w:type="dxa"/>
              <w:right w:w="28" w:type="dxa"/>
            </w:tcMar>
            <w:vAlign w:val="center"/>
          </w:tcPr>
          <w:p>
            <w:pPr>
              <w:widowControl/>
              <w:adjustRightInd w:val="0"/>
              <w:snapToGrid w:val="0"/>
              <w:spacing w:line="260" w:lineRule="atLeast"/>
              <w:ind w:left="2970" w:hanging="2970" w:hangingChars="1650"/>
              <w:jc w:val="left"/>
              <w:rPr>
                <w:kern w:val="0"/>
                <w:sz w:val="18"/>
                <w:szCs w:val="18"/>
              </w:rPr>
            </w:pPr>
          </w:p>
        </w:tc>
        <w:tc>
          <w:tcPr>
            <w:tcW w:w="2124" w:type="dxa"/>
            <w:tcBorders>
              <w:top w:val="nil"/>
              <w:left w:val="nil"/>
              <w:bottom w:val="nil"/>
              <w:right w:val="nil"/>
            </w:tcBorders>
            <w:tcMar>
              <w:left w:w="28" w:type="dxa"/>
              <w:right w:w="28" w:type="dxa"/>
            </w:tcMar>
            <w:vAlign w:val="center"/>
          </w:tcPr>
          <w:p>
            <w:pPr>
              <w:widowControl/>
              <w:adjustRightInd w:val="0"/>
              <w:snapToGrid w:val="0"/>
              <w:spacing w:line="260" w:lineRule="atLeast"/>
              <w:jc w:val="left"/>
              <w:rPr>
                <w:kern w:val="0"/>
                <w:sz w:val="18"/>
                <w:szCs w:val="18"/>
              </w:rPr>
            </w:pPr>
          </w:p>
        </w:tc>
        <w:tc>
          <w:tcPr>
            <w:tcW w:w="958" w:type="dxa"/>
            <w:tcBorders>
              <w:top w:val="nil"/>
              <w:left w:val="nil"/>
              <w:bottom w:val="nil"/>
              <w:right w:val="nil"/>
            </w:tcBorders>
            <w:tcMar>
              <w:left w:w="28" w:type="dxa"/>
              <w:right w:w="28" w:type="dxa"/>
            </w:tcMar>
            <w:vAlign w:val="center"/>
          </w:tcPr>
          <w:p>
            <w:pPr>
              <w:widowControl/>
              <w:adjustRightInd w:val="0"/>
              <w:snapToGrid w:val="0"/>
              <w:spacing w:line="260" w:lineRule="atLeast"/>
              <w:ind w:right="-92" w:rightChars="-44" w:firstLine="144" w:firstLineChars="80"/>
              <w:jc w:val="left"/>
              <w:rPr>
                <w:kern w:val="0"/>
                <w:sz w:val="18"/>
                <w:szCs w:val="18"/>
              </w:rPr>
            </w:pPr>
            <w:r>
              <w:rPr>
                <w:kern w:val="0"/>
                <w:sz w:val="18"/>
                <w:szCs w:val="18"/>
              </w:rPr>
              <w:t>表　　号：</w:t>
            </w:r>
          </w:p>
        </w:tc>
        <w:tc>
          <w:tcPr>
            <w:tcW w:w="1770"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spacing w:val="-2"/>
                <w:kern w:val="0"/>
                <w:sz w:val="18"/>
                <w:szCs w:val="18"/>
              </w:rPr>
            </w:pPr>
            <w:r>
              <w:rPr>
                <w:spacing w:val="-2"/>
                <w:kern w:val="0"/>
                <w:sz w:val="18"/>
                <w:szCs w:val="18"/>
              </w:rPr>
              <w:t>２０５－６表</w:t>
            </w:r>
          </w:p>
        </w:tc>
      </w:tr>
      <w:tr>
        <w:tblPrEx>
          <w:tblLayout w:type="fixed"/>
          <w:tblCellMar>
            <w:top w:w="0" w:type="dxa"/>
            <w:left w:w="108" w:type="dxa"/>
            <w:bottom w:w="0" w:type="dxa"/>
            <w:right w:w="108" w:type="dxa"/>
          </w:tblCellMar>
        </w:tblPrEx>
        <w:trPr>
          <w:jc w:val="center"/>
        </w:trPr>
        <w:tc>
          <w:tcPr>
            <w:tcW w:w="6911"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kern w:val="0"/>
                <w:sz w:val="18"/>
                <w:szCs w:val="18"/>
              </w:rPr>
            </w:pPr>
            <w:r>
              <w:rPr>
                <w:sz w:val="18"/>
                <w:szCs w:val="18"/>
              </w:rPr>
              <w:t>统一社会信用代码</w:t>
            </w:r>
            <w:r>
              <w:rPr>
                <w:rFonts w:hint="eastAsia" w:ascii="宋体" w:hAnsi="宋体" w:cs="宋体"/>
                <w:color w:val="000000"/>
                <w:kern w:val="0"/>
                <w:sz w:val="18"/>
                <w:szCs w:val="18"/>
              </w:rPr>
              <w:t>□□□□□□□□□□□□□□□□□□</w:t>
            </w:r>
          </w:p>
        </w:tc>
        <w:tc>
          <w:tcPr>
            <w:tcW w:w="958" w:type="dxa"/>
            <w:tcBorders>
              <w:top w:val="nil"/>
              <w:left w:val="nil"/>
              <w:bottom w:val="nil"/>
              <w:right w:val="nil"/>
            </w:tcBorders>
            <w:tcMar>
              <w:left w:w="28" w:type="dxa"/>
              <w:right w:w="28" w:type="dxa"/>
            </w:tcMar>
            <w:vAlign w:val="center"/>
          </w:tcPr>
          <w:p>
            <w:pPr>
              <w:widowControl/>
              <w:adjustRightInd w:val="0"/>
              <w:snapToGrid w:val="0"/>
              <w:spacing w:line="260" w:lineRule="atLeast"/>
              <w:ind w:right="-92" w:rightChars="-44" w:firstLine="144" w:firstLineChars="80"/>
              <w:jc w:val="left"/>
              <w:rPr>
                <w:kern w:val="0"/>
                <w:sz w:val="18"/>
                <w:szCs w:val="18"/>
              </w:rPr>
            </w:pPr>
            <w:r>
              <w:rPr>
                <w:kern w:val="0"/>
                <w:sz w:val="18"/>
                <w:szCs w:val="18"/>
              </w:rPr>
              <w:t>制</w:t>
            </w:r>
            <w:r>
              <w:rPr>
                <w:rFonts w:hint="eastAsia"/>
                <w:kern w:val="0"/>
                <w:sz w:val="18"/>
                <w:szCs w:val="18"/>
              </w:rPr>
              <w:t>定</w:t>
            </w:r>
            <w:r>
              <w:rPr>
                <w:kern w:val="0"/>
                <w:sz w:val="18"/>
                <w:szCs w:val="18"/>
              </w:rPr>
              <w:t>机关：</w:t>
            </w:r>
          </w:p>
        </w:tc>
        <w:tc>
          <w:tcPr>
            <w:tcW w:w="1770"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spacing w:val="-2"/>
                <w:kern w:val="0"/>
                <w:sz w:val="18"/>
                <w:szCs w:val="18"/>
              </w:rPr>
            </w:pPr>
            <w:r>
              <w:rPr>
                <w:spacing w:val="-2"/>
                <w:kern w:val="0"/>
                <w:sz w:val="18"/>
                <w:szCs w:val="18"/>
              </w:rPr>
              <w:t>国家统计局</w:t>
            </w:r>
          </w:p>
        </w:tc>
      </w:tr>
      <w:tr>
        <w:tblPrEx>
          <w:tblLayout w:type="fixed"/>
          <w:tblCellMar>
            <w:top w:w="0" w:type="dxa"/>
            <w:left w:w="108" w:type="dxa"/>
            <w:bottom w:w="0" w:type="dxa"/>
            <w:right w:w="108" w:type="dxa"/>
          </w:tblCellMar>
        </w:tblPrEx>
        <w:trPr>
          <w:jc w:val="center"/>
        </w:trPr>
        <w:tc>
          <w:tcPr>
            <w:tcW w:w="6911"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kern w:val="0"/>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958" w:type="dxa"/>
            <w:tcBorders>
              <w:top w:val="nil"/>
              <w:left w:val="nil"/>
              <w:bottom w:val="nil"/>
              <w:right w:val="nil"/>
            </w:tcBorders>
            <w:tcMar>
              <w:left w:w="28" w:type="dxa"/>
              <w:right w:w="28" w:type="dxa"/>
            </w:tcMar>
            <w:vAlign w:val="center"/>
          </w:tcPr>
          <w:p>
            <w:pPr>
              <w:widowControl/>
              <w:adjustRightInd w:val="0"/>
              <w:snapToGrid w:val="0"/>
              <w:spacing w:line="260" w:lineRule="atLeast"/>
              <w:ind w:right="-92" w:rightChars="-44" w:firstLine="144" w:firstLineChars="80"/>
              <w:jc w:val="left"/>
              <w:rPr>
                <w:kern w:val="0"/>
                <w:sz w:val="18"/>
                <w:szCs w:val="18"/>
              </w:rPr>
            </w:pPr>
            <w:r>
              <w:rPr>
                <w:kern w:val="0"/>
                <w:sz w:val="18"/>
                <w:szCs w:val="18"/>
              </w:rPr>
              <w:t>文　　号：</w:t>
            </w:r>
          </w:p>
        </w:tc>
        <w:tc>
          <w:tcPr>
            <w:tcW w:w="1770"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spacing w:val="-2"/>
                <w:kern w:val="0"/>
                <w:sz w:val="18"/>
                <w:szCs w:val="18"/>
              </w:rPr>
            </w:pPr>
            <w:r>
              <w:rPr>
                <w:rFonts w:hint="eastAsia" w:ascii="宋体" w:hAnsi="宋体"/>
                <w:spacing w:val="-2"/>
                <w:kern w:val="0"/>
                <w:sz w:val="18"/>
                <w:szCs w:val="18"/>
              </w:rPr>
              <w:t>国统字〔2020〕105 号</w:t>
            </w:r>
          </w:p>
        </w:tc>
      </w:tr>
      <w:tr>
        <w:tblPrEx>
          <w:tblLayout w:type="fixed"/>
          <w:tblCellMar>
            <w:top w:w="0" w:type="dxa"/>
            <w:left w:w="108" w:type="dxa"/>
            <w:bottom w:w="0" w:type="dxa"/>
            <w:right w:w="108" w:type="dxa"/>
          </w:tblCellMar>
        </w:tblPrEx>
        <w:trPr>
          <w:jc w:val="center"/>
        </w:trPr>
        <w:tc>
          <w:tcPr>
            <w:tcW w:w="3013" w:type="dxa"/>
            <w:tcBorders>
              <w:top w:val="nil"/>
              <w:left w:val="nil"/>
              <w:right w:val="nil"/>
            </w:tcBorders>
            <w:tcMar>
              <w:left w:w="28" w:type="dxa"/>
              <w:right w:w="28" w:type="dxa"/>
            </w:tcMar>
            <w:vAlign w:val="center"/>
          </w:tcPr>
          <w:p>
            <w:pPr>
              <w:widowControl/>
              <w:adjustRightInd w:val="0"/>
              <w:snapToGrid w:val="0"/>
              <w:spacing w:line="260" w:lineRule="atLeast"/>
              <w:jc w:val="left"/>
              <w:rPr>
                <w:kern w:val="0"/>
                <w:sz w:val="18"/>
                <w:szCs w:val="18"/>
              </w:rPr>
            </w:pPr>
            <w:r>
              <w:rPr>
                <w:kern w:val="0"/>
                <w:sz w:val="18"/>
                <w:szCs w:val="18"/>
              </w:rPr>
              <w:t>单位详细名称：　</w:t>
            </w:r>
          </w:p>
        </w:tc>
        <w:tc>
          <w:tcPr>
            <w:tcW w:w="3898" w:type="dxa"/>
            <w:gridSpan w:val="2"/>
            <w:tcBorders>
              <w:top w:val="nil"/>
              <w:left w:val="nil"/>
            </w:tcBorders>
            <w:tcMar>
              <w:left w:w="28" w:type="dxa"/>
              <w:right w:w="28" w:type="dxa"/>
            </w:tcMar>
          </w:tcPr>
          <w:p>
            <w:pPr>
              <w:adjustRightInd w:val="0"/>
              <w:snapToGrid w:val="0"/>
              <w:spacing w:line="260" w:lineRule="atLeast"/>
              <w:ind w:firstLine="900" w:firstLineChars="500"/>
              <w:rPr>
                <w:kern w:val="0"/>
                <w:sz w:val="18"/>
                <w:szCs w:val="18"/>
              </w:rPr>
            </w:pPr>
            <w:r>
              <w:rPr>
                <w:kern w:val="0"/>
                <w:sz w:val="18"/>
                <w:szCs w:val="18"/>
              </w:rPr>
              <w:t>２０　　年　　　月</w:t>
            </w:r>
          </w:p>
        </w:tc>
        <w:tc>
          <w:tcPr>
            <w:tcW w:w="958" w:type="dxa"/>
            <w:tcBorders>
              <w:top w:val="nil"/>
              <w:left w:val="nil"/>
            </w:tcBorders>
            <w:tcMar>
              <w:left w:w="28" w:type="dxa"/>
              <w:right w:w="28" w:type="dxa"/>
            </w:tcMar>
          </w:tcPr>
          <w:p>
            <w:pPr>
              <w:adjustRightInd w:val="0"/>
              <w:snapToGrid w:val="0"/>
              <w:spacing w:line="260" w:lineRule="atLeast"/>
              <w:ind w:right="-92" w:rightChars="-44" w:firstLine="144" w:firstLineChars="80"/>
              <w:rPr>
                <w:kern w:val="0"/>
                <w:sz w:val="18"/>
                <w:szCs w:val="18"/>
              </w:rPr>
            </w:pPr>
            <w:r>
              <w:rPr>
                <w:kern w:val="0"/>
                <w:sz w:val="18"/>
                <w:szCs w:val="18"/>
              </w:rPr>
              <w:t>有效期至：</w:t>
            </w:r>
          </w:p>
        </w:tc>
        <w:tc>
          <w:tcPr>
            <w:tcW w:w="1770" w:type="dxa"/>
            <w:tcBorders>
              <w:top w:val="nil"/>
              <w:left w:val="nil"/>
            </w:tcBorders>
            <w:tcMar>
              <w:left w:w="28" w:type="dxa"/>
              <w:right w:w="28" w:type="dxa"/>
            </w:tcMar>
            <w:vAlign w:val="center"/>
          </w:tcPr>
          <w:p>
            <w:pPr>
              <w:widowControl/>
              <w:adjustRightInd w:val="0"/>
              <w:snapToGrid w:val="0"/>
              <w:spacing w:line="260" w:lineRule="atLeast"/>
              <w:jc w:val="distribute"/>
              <w:rPr>
                <w:spacing w:val="-2"/>
                <w:kern w:val="0"/>
                <w:sz w:val="18"/>
                <w:szCs w:val="18"/>
              </w:rPr>
            </w:pPr>
            <w:r>
              <w:rPr>
                <w:spacing w:val="-2"/>
                <w:kern w:val="0"/>
                <w:sz w:val="18"/>
                <w:szCs w:val="18"/>
              </w:rPr>
              <w:t>２０２２年１月</w:t>
            </w:r>
          </w:p>
        </w:tc>
      </w:tr>
    </w:tbl>
    <w:p>
      <w:pPr>
        <w:spacing w:line="40" w:lineRule="exact"/>
      </w:pPr>
    </w:p>
    <w:tbl>
      <w:tblPr>
        <w:tblStyle w:val="25"/>
        <w:tblW w:w="9639" w:type="dxa"/>
        <w:jc w:val="center"/>
        <w:tblInd w:w="0" w:type="dxa"/>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04"/>
        <w:gridCol w:w="604"/>
        <w:gridCol w:w="602"/>
        <w:gridCol w:w="602"/>
        <w:gridCol w:w="603"/>
        <w:gridCol w:w="613"/>
        <w:gridCol w:w="598"/>
        <w:gridCol w:w="613"/>
        <w:gridCol w:w="601"/>
        <w:gridCol w:w="607"/>
        <w:gridCol w:w="601"/>
        <w:gridCol w:w="609"/>
        <w:gridCol w:w="601"/>
        <w:gridCol w:w="607"/>
        <w:gridCol w:w="601"/>
        <w:gridCol w:w="573"/>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604" w:type="dxa"/>
            <w:vMerge w:val="restart"/>
            <w:tcBorders>
              <w:top w:val="single" w:color="auto" w:sz="8" w:space="0"/>
              <w:bottom w:val="single" w:color="auto" w:sz="2" w:space="0"/>
            </w:tcBorders>
            <w:vAlign w:val="center"/>
          </w:tcPr>
          <w:p>
            <w:pPr>
              <w:widowControl/>
              <w:jc w:val="center"/>
              <w:rPr>
                <w:kern w:val="0"/>
                <w:sz w:val="18"/>
                <w:szCs w:val="18"/>
              </w:rPr>
            </w:pPr>
            <w:r>
              <w:rPr>
                <w:kern w:val="0"/>
                <w:sz w:val="18"/>
                <w:szCs w:val="18"/>
              </w:rPr>
              <w:t>产品名称</w:t>
            </w:r>
          </w:p>
        </w:tc>
        <w:tc>
          <w:tcPr>
            <w:tcW w:w="604" w:type="dxa"/>
            <w:vMerge w:val="restart"/>
            <w:tcBorders>
              <w:top w:val="single" w:color="auto" w:sz="8" w:space="0"/>
              <w:bottom w:val="single" w:color="auto" w:sz="2" w:space="0"/>
            </w:tcBorders>
            <w:vAlign w:val="center"/>
          </w:tcPr>
          <w:p>
            <w:pPr>
              <w:widowControl/>
              <w:rPr>
                <w:kern w:val="0"/>
                <w:sz w:val="18"/>
                <w:szCs w:val="18"/>
              </w:rPr>
            </w:pPr>
            <w:r>
              <w:rPr>
                <w:kern w:val="0"/>
                <w:sz w:val="18"/>
                <w:szCs w:val="18"/>
              </w:rPr>
              <w:t>计量单位</w:t>
            </w:r>
          </w:p>
        </w:tc>
        <w:tc>
          <w:tcPr>
            <w:tcW w:w="602" w:type="dxa"/>
            <w:vMerge w:val="restart"/>
            <w:tcBorders>
              <w:top w:val="single" w:color="auto" w:sz="8" w:space="0"/>
              <w:bottom w:val="single" w:color="auto" w:sz="2" w:space="0"/>
            </w:tcBorders>
            <w:vAlign w:val="center"/>
          </w:tcPr>
          <w:p>
            <w:pPr>
              <w:widowControl/>
              <w:jc w:val="center"/>
              <w:rPr>
                <w:kern w:val="0"/>
                <w:sz w:val="18"/>
                <w:szCs w:val="18"/>
              </w:rPr>
            </w:pPr>
            <w:r>
              <w:rPr>
                <w:kern w:val="0"/>
                <w:sz w:val="18"/>
                <w:szCs w:val="18"/>
              </w:rPr>
              <w:t>产品代码</w:t>
            </w:r>
          </w:p>
        </w:tc>
        <w:tc>
          <w:tcPr>
            <w:tcW w:w="602" w:type="dxa"/>
            <w:vMerge w:val="restart"/>
            <w:tcBorders>
              <w:top w:val="single" w:color="auto" w:sz="8" w:space="0"/>
              <w:bottom w:val="single" w:color="auto" w:sz="2" w:space="0"/>
            </w:tcBorders>
            <w:vAlign w:val="center"/>
          </w:tcPr>
          <w:p>
            <w:pPr>
              <w:widowControl/>
              <w:jc w:val="center"/>
              <w:rPr>
                <w:kern w:val="0"/>
                <w:sz w:val="18"/>
                <w:szCs w:val="18"/>
              </w:rPr>
            </w:pPr>
            <w:r>
              <w:rPr>
                <w:kern w:val="0"/>
                <w:sz w:val="18"/>
                <w:szCs w:val="18"/>
              </w:rPr>
              <w:t>年初产成品库存量</w:t>
            </w:r>
          </w:p>
        </w:tc>
        <w:tc>
          <w:tcPr>
            <w:tcW w:w="2427" w:type="dxa"/>
            <w:gridSpan w:val="4"/>
            <w:tcBorders>
              <w:top w:val="single" w:color="auto" w:sz="8" w:space="0"/>
              <w:bottom w:val="single" w:color="auto" w:sz="2" w:space="0"/>
            </w:tcBorders>
            <w:vAlign w:val="center"/>
          </w:tcPr>
          <w:p>
            <w:pPr>
              <w:widowControl/>
              <w:jc w:val="center"/>
              <w:rPr>
                <w:kern w:val="0"/>
                <w:sz w:val="18"/>
                <w:szCs w:val="18"/>
              </w:rPr>
            </w:pPr>
            <w:r>
              <w:rPr>
                <w:kern w:val="0"/>
                <w:sz w:val="18"/>
                <w:szCs w:val="18"/>
              </w:rPr>
              <w:t>生产量</w:t>
            </w:r>
          </w:p>
        </w:tc>
        <w:tc>
          <w:tcPr>
            <w:tcW w:w="1208" w:type="dxa"/>
            <w:gridSpan w:val="2"/>
            <w:vMerge w:val="restart"/>
            <w:tcBorders>
              <w:top w:val="single" w:color="auto" w:sz="8" w:space="0"/>
              <w:right w:val="nil"/>
            </w:tcBorders>
            <w:vAlign w:val="center"/>
          </w:tcPr>
          <w:p>
            <w:pPr>
              <w:widowControl/>
              <w:jc w:val="center"/>
              <w:rPr>
                <w:kern w:val="0"/>
                <w:sz w:val="18"/>
                <w:szCs w:val="18"/>
              </w:rPr>
            </w:pPr>
            <w:r>
              <w:rPr>
                <w:kern w:val="0"/>
                <w:sz w:val="18"/>
                <w:szCs w:val="18"/>
              </w:rPr>
              <w:t>销售量</w:t>
            </w:r>
          </w:p>
        </w:tc>
        <w:tc>
          <w:tcPr>
            <w:tcW w:w="1210" w:type="dxa"/>
            <w:gridSpan w:val="2"/>
            <w:tcBorders>
              <w:top w:val="single" w:color="auto" w:sz="8" w:space="0"/>
              <w:left w:val="nil"/>
              <w:bottom w:val="nil"/>
            </w:tcBorders>
            <w:vAlign w:val="center"/>
          </w:tcPr>
          <w:p>
            <w:pPr>
              <w:widowControl/>
              <w:jc w:val="center"/>
              <w:rPr>
                <w:kern w:val="0"/>
                <w:sz w:val="18"/>
                <w:szCs w:val="18"/>
              </w:rPr>
            </w:pPr>
          </w:p>
        </w:tc>
        <w:tc>
          <w:tcPr>
            <w:tcW w:w="1208" w:type="dxa"/>
            <w:gridSpan w:val="2"/>
            <w:tcBorders>
              <w:top w:val="single" w:color="auto" w:sz="8" w:space="0"/>
              <w:bottom w:val="single" w:color="auto" w:sz="2" w:space="0"/>
            </w:tcBorders>
            <w:vAlign w:val="center"/>
          </w:tcPr>
          <w:p>
            <w:pPr>
              <w:widowControl/>
              <w:jc w:val="center"/>
              <w:rPr>
                <w:kern w:val="0"/>
                <w:sz w:val="18"/>
                <w:szCs w:val="18"/>
              </w:rPr>
            </w:pPr>
            <w:r>
              <w:rPr>
                <w:kern w:val="0"/>
                <w:sz w:val="18"/>
                <w:szCs w:val="18"/>
              </w:rPr>
              <w:t>企业自用</w:t>
            </w:r>
          </w:p>
          <w:p>
            <w:pPr>
              <w:widowControl/>
              <w:jc w:val="center"/>
              <w:rPr>
                <w:kern w:val="0"/>
                <w:sz w:val="18"/>
                <w:szCs w:val="18"/>
              </w:rPr>
            </w:pPr>
            <w:r>
              <w:rPr>
                <w:kern w:val="0"/>
                <w:sz w:val="18"/>
                <w:szCs w:val="18"/>
              </w:rPr>
              <w:t>及 其 他</w:t>
            </w:r>
          </w:p>
        </w:tc>
        <w:tc>
          <w:tcPr>
            <w:tcW w:w="1174" w:type="dxa"/>
            <w:gridSpan w:val="2"/>
            <w:tcBorders>
              <w:top w:val="single" w:color="auto" w:sz="8" w:space="0"/>
              <w:bottom w:val="single" w:color="auto" w:sz="2" w:space="0"/>
            </w:tcBorders>
            <w:vAlign w:val="center"/>
          </w:tcPr>
          <w:p>
            <w:pPr>
              <w:widowControl/>
              <w:jc w:val="center"/>
              <w:rPr>
                <w:kern w:val="0"/>
                <w:sz w:val="18"/>
                <w:szCs w:val="18"/>
              </w:rPr>
            </w:pPr>
            <w:r>
              <w:rPr>
                <w:kern w:val="0"/>
                <w:sz w:val="18"/>
                <w:szCs w:val="18"/>
              </w:rPr>
              <w:t>期末产成品库  存  量</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604" w:type="dxa"/>
            <w:vMerge w:val="continue"/>
            <w:tcBorders>
              <w:top w:val="single" w:color="auto" w:sz="2" w:space="0"/>
            </w:tcBorders>
            <w:shd w:val="clear" w:color="auto" w:fill="auto"/>
            <w:vAlign w:val="center"/>
          </w:tcPr>
          <w:p>
            <w:pPr>
              <w:widowControl/>
              <w:jc w:val="left"/>
              <w:rPr>
                <w:kern w:val="0"/>
                <w:sz w:val="18"/>
                <w:szCs w:val="18"/>
              </w:rPr>
            </w:pPr>
          </w:p>
        </w:tc>
        <w:tc>
          <w:tcPr>
            <w:tcW w:w="604" w:type="dxa"/>
            <w:vMerge w:val="continue"/>
            <w:tcBorders>
              <w:top w:val="single" w:color="auto" w:sz="2" w:space="0"/>
            </w:tcBorders>
            <w:shd w:val="clear" w:color="auto" w:fill="auto"/>
            <w:vAlign w:val="center"/>
          </w:tcPr>
          <w:p>
            <w:pPr>
              <w:widowControl/>
              <w:jc w:val="left"/>
              <w:rPr>
                <w:kern w:val="0"/>
                <w:sz w:val="18"/>
                <w:szCs w:val="18"/>
              </w:rPr>
            </w:pPr>
          </w:p>
        </w:tc>
        <w:tc>
          <w:tcPr>
            <w:tcW w:w="602" w:type="dxa"/>
            <w:vMerge w:val="continue"/>
            <w:tcBorders>
              <w:top w:val="single" w:color="auto" w:sz="2" w:space="0"/>
            </w:tcBorders>
            <w:shd w:val="clear" w:color="auto" w:fill="auto"/>
            <w:vAlign w:val="center"/>
          </w:tcPr>
          <w:p>
            <w:pPr>
              <w:widowControl/>
              <w:jc w:val="left"/>
              <w:rPr>
                <w:kern w:val="0"/>
                <w:sz w:val="18"/>
                <w:szCs w:val="18"/>
              </w:rPr>
            </w:pPr>
          </w:p>
        </w:tc>
        <w:tc>
          <w:tcPr>
            <w:tcW w:w="602" w:type="dxa"/>
            <w:vMerge w:val="continue"/>
            <w:tcBorders>
              <w:top w:val="single" w:color="auto" w:sz="2" w:space="0"/>
            </w:tcBorders>
            <w:shd w:val="clear" w:color="auto" w:fill="auto"/>
            <w:vAlign w:val="center"/>
          </w:tcPr>
          <w:p>
            <w:pPr>
              <w:widowControl/>
              <w:jc w:val="center"/>
              <w:rPr>
                <w:kern w:val="0"/>
                <w:sz w:val="18"/>
                <w:szCs w:val="18"/>
              </w:rPr>
            </w:pPr>
          </w:p>
        </w:tc>
        <w:tc>
          <w:tcPr>
            <w:tcW w:w="1216" w:type="dxa"/>
            <w:gridSpan w:val="2"/>
            <w:tcBorders>
              <w:top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本年</w:t>
            </w:r>
          </w:p>
        </w:tc>
        <w:tc>
          <w:tcPr>
            <w:tcW w:w="1211" w:type="dxa"/>
            <w:gridSpan w:val="2"/>
            <w:tcBorders>
              <w:top w:val="single" w:color="auto" w:sz="2" w:space="0"/>
              <w:bottom w:val="single" w:color="auto" w:sz="2" w:space="0"/>
            </w:tcBorders>
            <w:shd w:val="clear" w:color="auto" w:fill="D9D9D9"/>
            <w:vAlign w:val="center"/>
          </w:tcPr>
          <w:p>
            <w:pPr>
              <w:widowControl/>
              <w:jc w:val="center"/>
              <w:rPr>
                <w:rFonts w:ascii="宋体" w:hAnsi="宋体" w:cs="宋体"/>
                <w:kern w:val="0"/>
                <w:sz w:val="18"/>
                <w:szCs w:val="18"/>
              </w:rPr>
            </w:pPr>
            <w:r>
              <w:rPr>
                <w:rFonts w:hint="eastAsia" w:ascii="宋体" w:hAnsi="宋体" w:cs="宋体"/>
                <w:kern w:val="0"/>
                <w:sz w:val="18"/>
                <w:szCs w:val="18"/>
              </w:rPr>
              <w:t>上年同期</w:t>
            </w:r>
          </w:p>
        </w:tc>
        <w:tc>
          <w:tcPr>
            <w:tcW w:w="1208" w:type="dxa"/>
            <w:gridSpan w:val="2"/>
            <w:vMerge w:val="continue"/>
            <w:shd w:val="clear" w:color="auto" w:fill="auto"/>
            <w:vAlign w:val="center"/>
          </w:tcPr>
          <w:p>
            <w:pPr>
              <w:widowControl/>
              <w:jc w:val="center"/>
              <w:rPr>
                <w:rFonts w:ascii="宋体" w:hAnsi="宋体" w:cs="宋体"/>
                <w:kern w:val="0"/>
                <w:sz w:val="18"/>
                <w:szCs w:val="18"/>
              </w:rPr>
            </w:pPr>
          </w:p>
        </w:tc>
        <w:tc>
          <w:tcPr>
            <w:tcW w:w="1210" w:type="dxa"/>
            <w:gridSpan w:val="2"/>
            <w:tcBorders>
              <w:top w:val="single" w:color="auto" w:sz="2" w:space="0"/>
              <w:bottom w:val="single" w:color="auto" w:sz="2" w:space="0"/>
            </w:tcBorders>
            <w:shd w:val="clear" w:color="auto" w:fill="auto"/>
            <w:vAlign w:val="center"/>
          </w:tcPr>
          <w:p>
            <w:pPr>
              <w:widowControl/>
              <w:ind w:firstLine="90" w:firstLineChars="50"/>
              <w:rPr>
                <w:rFonts w:ascii="宋体" w:hAnsi="宋体" w:cs="宋体"/>
                <w:kern w:val="0"/>
                <w:sz w:val="18"/>
                <w:szCs w:val="18"/>
              </w:rPr>
            </w:pPr>
            <w:r>
              <w:rPr>
                <w:rFonts w:hint="eastAsia" w:ascii="宋体" w:hAnsi="宋体" w:cs="宋体"/>
                <w:kern w:val="0"/>
                <w:sz w:val="18"/>
                <w:szCs w:val="18"/>
              </w:rPr>
              <w:t>其中：</w:t>
            </w:r>
          </w:p>
          <w:p>
            <w:pPr>
              <w:widowControl/>
              <w:jc w:val="center"/>
              <w:rPr>
                <w:rFonts w:ascii="宋体" w:hAnsi="宋体" w:cs="宋体"/>
                <w:kern w:val="0"/>
                <w:sz w:val="18"/>
                <w:szCs w:val="18"/>
              </w:rPr>
            </w:pPr>
            <w:r>
              <w:rPr>
                <w:rFonts w:hint="eastAsia" w:ascii="宋体" w:hAnsi="宋体" w:cs="宋体"/>
                <w:kern w:val="0"/>
                <w:sz w:val="18"/>
                <w:szCs w:val="18"/>
              </w:rPr>
              <w:t>销往省外</w:t>
            </w:r>
          </w:p>
        </w:tc>
        <w:tc>
          <w:tcPr>
            <w:tcW w:w="601" w:type="dxa"/>
            <w:vMerge w:val="restart"/>
            <w:tcBorders>
              <w:top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p>
            <w:pPr>
              <w:jc w:val="left"/>
              <w:rPr>
                <w:rFonts w:ascii="宋体" w:hAnsi="宋体" w:cs="宋体"/>
                <w:kern w:val="0"/>
                <w:sz w:val="18"/>
                <w:szCs w:val="18"/>
              </w:rPr>
            </w:pPr>
            <w:r>
              <w:rPr>
                <w:rFonts w:hint="eastAsia" w:ascii="宋体" w:hAnsi="宋体" w:cs="宋体"/>
                <w:kern w:val="0"/>
                <w:sz w:val="18"/>
                <w:szCs w:val="18"/>
              </w:rPr>
              <w:t>本月</w:t>
            </w:r>
          </w:p>
        </w:tc>
        <w:tc>
          <w:tcPr>
            <w:tcW w:w="607" w:type="dxa"/>
            <w:vMerge w:val="restart"/>
            <w:tcBorders>
              <w:top w:val="single" w:color="auto" w:sz="2" w:space="0"/>
            </w:tcBorders>
            <w:shd w:val="clear" w:color="auto" w:fill="D9D9D9"/>
            <w:vAlign w:val="center"/>
          </w:tcPr>
          <w:p>
            <w:pPr>
              <w:widowControl/>
              <w:jc w:val="center"/>
              <w:rPr>
                <w:rFonts w:ascii="宋体" w:hAnsi="宋体" w:cs="宋体"/>
                <w:kern w:val="0"/>
                <w:sz w:val="18"/>
                <w:szCs w:val="18"/>
              </w:rPr>
            </w:pPr>
            <w:r>
              <w:rPr>
                <w:rFonts w:hint="eastAsia" w:ascii="宋体" w:hAnsi="宋体" w:cs="宋体"/>
                <w:kern w:val="0"/>
                <w:sz w:val="18"/>
                <w:szCs w:val="18"/>
              </w:rPr>
              <w:t>上年同期</w:t>
            </w:r>
          </w:p>
        </w:tc>
        <w:tc>
          <w:tcPr>
            <w:tcW w:w="601" w:type="dxa"/>
            <w:vMerge w:val="restart"/>
            <w:tcBorders>
              <w:top w:val="single" w:color="auto" w:sz="2"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本期</w:t>
            </w:r>
          </w:p>
        </w:tc>
        <w:tc>
          <w:tcPr>
            <w:tcW w:w="573" w:type="dxa"/>
            <w:vMerge w:val="restart"/>
            <w:tcBorders>
              <w:top w:val="single" w:color="auto" w:sz="2" w:space="0"/>
            </w:tcBorders>
            <w:shd w:val="clear" w:color="auto" w:fill="D9D9D9"/>
            <w:vAlign w:val="center"/>
          </w:tcPr>
          <w:p>
            <w:pPr>
              <w:widowControl/>
              <w:ind w:right="-10" w:rightChars="-5"/>
              <w:jc w:val="center"/>
              <w:rPr>
                <w:rFonts w:ascii="宋体" w:hAnsi="宋体" w:cs="宋体"/>
                <w:kern w:val="0"/>
                <w:sz w:val="18"/>
                <w:szCs w:val="18"/>
              </w:rPr>
            </w:pPr>
            <w:r>
              <w:rPr>
                <w:rFonts w:hint="eastAsia" w:ascii="宋体" w:hAnsi="宋体" w:cs="宋体"/>
                <w:kern w:val="0"/>
                <w:sz w:val="18"/>
                <w:szCs w:val="18"/>
              </w:rPr>
              <w:t>上年同期</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17" w:hRule="atLeast"/>
          <w:jc w:val="center"/>
        </w:trPr>
        <w:tc>
          <w:tcPr>
            <w:tcW w:w="604" w:type="dxa"/>
            <w:vMerge w:val="continue"/>
            <w:tcBorders>
              <w:bottom w:val="single" w:color="auto" w:sz="2" w:space="0"/>
            </w:tcBorders>
            <w:shd w:val="clear" w:color="auto" w:fill="auto"/>
            <w:vAlign w:val="center"/>
          </w:tcPr>
          <w:p>
            <w:pPr>
              <w:widowControl/>
              <w:jc w:val="left"/>
              <w:rPr>
                <w:kern w:val="0"/>
                <w:sz w:val="18"/>
                <w:szCs w:val="18"/>
              </w:rPr>
            </w:pPr>
          </w:p>
        </w:tc>
        <w:tc>
          <w:tcPr>
            <w:tcW w:w="604" w:type="dxa"/>
            <w:vMerge w:val="continue"/>
            <w:tcBorders>
              <w:bottom w:val="single" w:color="auto" w:sz="2" w:space="0"/>
            </w:tcBorders>
            <w:shd w:val="clear" w:color="auto" w:fill="auto"/>
            <w:vAlign w:val="center"/>
          </w:tcPr>
          <w:p>
            <w:pPr>
              <w:widowControl/>
              <w:jc w:val="left"/>
              <w:rPr>
                <w:kern w:val="0"/>
                <w:sz w:val="18"/>
                <w:szCs w:val="18"/>
              </w:rPr>
            </w:pPr>
          </w:p>
        </w:tc>
        <w:tc>
          <w:tcPr>
            <w:tcW w:w="602" w:type="dxa"/>
            <w:vMerge w:val="continue"/>
            <w:tcBorders>
              <w:bottom w:val="single" w:color="auto" w:sz="2" w:space="0"/>
            </w:tcBorders>
            <w:shd w:val="clear" w:color="auto" w:fill="auto"/>
            <w:vAlign w:val="center"/>
          </w:tcPr>
          <w:p>
            <w:pPr>
              <w:widowControl/>
              <w:jc w:val="left"/>
              <w:rPr>
                <w:kern w:val="0"/>
                <w:sz w:val="18"/>
                <w:szCs w:val="18"/>
              </w:rPr>
            </w:pPr>
          </w:p>
        </w:tc>
        <w:tc>
          <w:tcPr>
            <w:tcW w:w="602" w:type="dxa"/>
            <w:vMerge w:val="continue"/>
            <w:tcBorders>
              <w:bottom w:val="single" w:color="auto" w:sz="2" w:space="0"/>
            </w:tcBorders>
            <w:shd w:val="clear" w:color="auto" w:fill="auto"/>
            <w:vAlign w:val="center"/>
          </w:tcPr>
          <w:p>
            <w:pPr>
              <w:widowControl/>
              <w:jc w:val="left"/>
              <w:rPr>
                <w:kern w:val="0"/>
                <w:sz w:val="18"/>
                <w:szCs w:val="18"/>
              </w:rPr>
            </w:pPr>
          </w:p>
        </w:tc>
        <w:tc>
          <w:tcPr>
            <w:tcW w:w="603" w:type="dxa"/>
            <w:tcBorders>
              <w:bottom w:val="single" w:color="auto" w:sz="2" w:space="0"/>
            </w:tcBorders>
            <w:shd w:val="clear" w:color="auto" w:fill="auto"/>
            <w:vAlign w:val="center"/>
          </w:tcPr>
          <w:p>
            <w:pPr>
              <w:widowControl/>
              <w:jc w:val="center"/>
              <w:rPr>
                <w:kern w:val="0"/>
                <w:sz w:val="18"/>
                <w:szCs w:val="18"/>
              </w:rPr>
            </w:pPr>
            <w:r>
              <w:rPr>
                <w:kern w:val="0"/>
                <w:sz w:val="18"/>
                <w:szCs w:val="18"/>
              </w:rPr>
              <w:t>本月</w:t>
            </w:r>
          </w:p>
        </w:tc>
        <w:tc>
          <w:tcPr>
            <w:tcW w:w="613" w:type="dxa"/>
            <w:tcBorders>
              <w:top w:val="single" w:color="auto" w:sz="2" w:space="0"/>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p>
            <w:pPr>
              <w:jc w:val="center"/>
              <w:rPr>
                <w:rFonts w:ascii="宋体" w:hAnsi="宋体" w:cs="宋体"/>
                <w:kern w:val="0"/>
                <w:sz w:val="18"/>
                <w:szCs w:val="18"/>
              </w:rPr>
            </w:pPr>
            <w:r>
              <w:rPr>
                <w:rFonts w:hint="eastAsia" w:ascii="宋体" w:hAnsi="宋体" w:cs="宋体"/>
                <w:kern w:val="0"/>
                <w:sz w:val="18"/>
                <w:szCs w:val="18"/>
              </w:rPr>
              <w:t>本月</w:t>
            </w:r>
          </w:p>
        </w:tc>
        <w:tc>
          <w:tcPr>
            <w:tcW w:w="598" w:type="dxa"/>
            <w:tcBorders>
              <w:top w:val="single" w:color="auto" w:sz="2" w:space="0"/>
              <w:bottom w:val="single" w:color="auto" w:sz="2" w:space="0"/>
            </w:tcBorders>
            <w:shd w:val="clear" w:color="auto" w:fill="D9D9D9"/>
            <w:vAlign w:val="center"/>
          </w:tcPr>
          <w:p>
            <w:pPr>
              <w:widowControl/>
              <w:jc w:val="center"/>
              <w:rPr>
                <w:rFonts w:ascii="宋体" w:hAnsi="宋体" w:cs="宋体"/>
                <w:kern w:val="0"/>
                <w:sz w:val="18"/>
                <w:szCs w:val="18"/>
              </w:rPr>
            </w:pPr>
            <w:r>
              <w:rPr>
                <w:rFonts w:hint="eastAsia" w:ascii="宋体" w:hAnsi="宋体" w:cs="宋体"/>
                <w:kern w:val="0"/>
                <w:sz w:val="18"/>
                <w:szCs w:val="18"/>
              </w:rPr>
              <w:t>本月</w:t>
            </w:r>
          </w:p>
        </w:tc>
        <w:tc>
          <w:tcPr>
            <w:tcW w:w="613" w:type="dxa"/>
            <w:tcBorders>
              <w:top w:val="single" w:color="auto" w:sz="2" w:space="0"/>
              <w:bottom w:val="single" w:color="auto" w:sz="2" w:space="0"/>
            </w:tcBorders>
            <w:shd w:val="clear" w:color="auto" w:fill="D9D9D9"/>
            <w:vAlign w:val="center"/>
          </w:tcPr>
          <w:p>
            <w:pPr>
              <w:widowControl/>
              <w:jc w:val="center"/>
              <w:rPr>
                <w:rFonts w:ascii="宋体" w:hAnsi="宋体" w:cs="宋体"/>
                <w:kern w:val="0"/>
                <w:sz w:val="18"/>
                <w:szCs w:val="18"/>
              </w:rPr>
            </w:pPr>
            <w:r>
              <w:rPr>
                <w:rFonts w:hint="eastAsia" w:ascii="宋体" w:hAnsi="宋体" w:cs="宋体"/>
                <w:kern w:val="0"/>
                <w:sz w:val="18"/>
                <w:szCs w:val="18"/>
              </w:rPr>
              <w:t>1－</w:t>
            </w:r>
          </w:p>
          <w:p>
            <w:pPr>
              <w:jc w:val="center"/>
              <w:rPr>
                <w:rFonts w:ascii="宋体" w:hAnsi="宋体" w:cs="宋体"/>
                <w:kern w:val="0"/>
                <w:sz w:val="18"/>
                <w:szCs w:val="18"/>
              </w:rPr>
            </w:pPr>
            <w:r>
              <w:rPr>
                <w:rFonts w:hint="eastAsia" w:ascii="宋体" w:hAnsi="宋体" w:cs="宋体"/>
                <w:kern w:val="0"/>
                <w:sz w:val="18"/>
                <w:szCs w:val="18"/>
              </w:rPr>
              <w:t>本月</w:t>
            </w:r>
          </w:p>
        </w:tc>
        <w:tc>
          <w:tcPr>
            <w:tcW w:w="601" w:type="dxa"/>
            <w:tcBorders>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p>
            <w:pPr>
              <w:jc w:val="center"/>
              <w:rPr>
                <w:rFonts w:ascii="宋体" w:hAnsi="宋体" w:cs="宋体"/>
                <w:kern w:val="0"/>
                <w:sz w:val="18"/>
                <w:szCs w:val="18"/>
              </w:rPr>
            </w:pPr>
            <w:r>
              <w:rPr>
                <w:rFonts w:hint="eastAsia" w:ascii="宋体" w:hAnsi="宋体" w:cs="宋体"/>
                <w:kern w:val="0"/>
                <w:sz w:val="18"/>
                <w:szCs w:val="18"/>
              </w:rPr>
              <w:t>本月</w:t>
            </w:r>
          </w:p>
        </w:tc>
        <w:tc>
          <w:tcPr>
            <w:tcW w:w="607" w:type="dxa"/>
            <w:tcBorders>
              <w:bottom w:val="single" w:color="auto" w:sz="2" w:space="0"/>
            </w:tcBorders>
            <w:shd w:val="clear" w:color="auto" w:fill="D9D9D9"/>
            <w:vAlign w:val="center"/>
          </w:tcPr>
          <w:p>
            <w:pPr>
              <w:widowControl/>
              <w:jc w:val="center"/>
              <w:rPr>
                <w:rFonts w:ascii="宋体" w:hAnsi="宋体" w:cs="宋体"/>
                <w:kern w:val="0"/>
                <w:sz w:val="18"/>
                <w:szCs w:val="18"/>
              </w:rPr>
            </w:pPr>
            <w:r>
              <w:rPr>
                <w:rFonts w:hint="eastAsia" w:ascii="宋体" w:hAnsi="宋体" w:cs="宋体"/>
                <w:kern w:val="0"/>
                <w:sz w:val="18"/>
                <w:szCs w:val="18"/>
              </w:rPr>
              <w:t>上年同期</w:t>
            </w:r>
          </w:p>
        </w:tc>
        <w:tc>
          <w:tcPr>
            <w:tcW w:w="601" w:type="dxa"/>
            <w:tcBorders>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p>
            <w:pPr>
              <w:jc w:val="center"/>
              <w:rPr>
                <w:rFonts w:ascii="宋体" w:hAnsi="宋体" w:cs="宋体"/>
                <w:kern w:val="0"/>
                <w:sz w:val="18"/>
                <w:szCs w:val="18"/>
              </w:rPr>
            </w:pPr>
            <w:r>
              <w:rPr>
                <w:rFonts w:hint="eastAsia" w:ascii="宋体" w:hAnsi="宋体" w:cs="宋体"/>
                <w:kern w:val="0"/>
                <w:sz w:val="18"/>
                <w:szCs w:val="18"/>
              </w:rPr>
              <w:t>本月</w:t>
            </w:r>
          </w:p>
        </w:tc>
        <w:tc>
          <w:tcPr>
            <w:tcW w:w="609" w:type="dxa"/>
            <w:tcBorders>
              <w:top w:val="single" w:color="auto" w:sz="2" w:space="0"/>
              <w:bottom w:val="single" w:color="auto" w:sz="2" w:space="0"/>
            </w:tcBorders>
            <w:shd w:val="clear" w:color="auto" w:fill="D9D9D9"/>
            <w:vAlign w:val="center"/>
          </w:tcPr>
          <w:p>
            <w:pPr>
              <w:widowControl/>
              <w:jc w:val="center"/>
              <w:rPr>
                <w:rFonts w:ascii="宋体" w:hAnsi="宋体" w:cs="宋体"/>
                <w:kern w:val="0"/>
                <w:sz w:val="18"/>
                <w:szCs w:val="18"/>
              </w:rPr>
            </w:pPr>
            <w:r>
              <w:rPr>
                <w:rFonts w:hint="eastAsia" w:ascii="宋体" w:hAnsi="宋体" w:cs="宋体"/>
                <w:kern w:val="0"/>
                <w:sz w:val="18"/>
                <w:szCs w:val="18"/>
              </w:rPr>
              <w:t>上年同期</w:t>
            </w:r>
          </w:p>
        </w:tc>
        <w:tc>
          <w:tcPr>
            <w:tcW w:w="601" w:type="dxa"/>
            <w:vMerge w:val="continue"/>
            <w:tcBorders>
              <w:bottom w:val="single" w:color="auto" w:sz="2" w:space="0"/>
            </w:tcBorders>
            <w:shd w:val="clear" w:color="auto" w:fill="auto"/>
            <w:vAlign w:val="center"/>
          </w:tcPr>
          <w:p>
            <w:pPr>
              <w:jc w:val="left"/>
              <w:rPr>
                <w:rFonts w:ascii="宋体" w:hAnsi="宋体" w:cs="宋体"/>
                <w:kern w:val="0"/>
                <w:sz w:val="18"/>
                <w:szCs w:val="18"/>
              </w:rPr>
            </w:pPr>
          </w:p>
        </w:tc>
        <w:tc>
          <w:tcPr>
            <w:tcW w:w="607" w:type="dxa"/>
            <w:vMerge w:val="continue"/>
            <w:tcBorders>
              <w:bottom w:val="single" w:color="auto" w:sz="2" w:space="0"/>
            </w:tcBorders>
            <w:shd w:val="clear" w:color="auto" w:fill="D9D9D9"/>
            <w:vAlign w:val="center"/>
          </w:tcPr>
          <w:p>
            <w:pPr>
              <w:widowControl/>
              <w:jc w:val="left"/>
              <w:rPr>
                <w:rFonts w:ascii="宋体" w:hAnsi="宋体" w:cs="宋体"/>
                <w:kern w:val="0"/>
                <w:sz w:val="18"/>
                <w:szCs w:val="18"/>
              </w:rPr>
            </w:pPr>
          </w:p>
        </w:tc>
        <w:tc>
          <w:tcPr>
            <w:tcW w:w="601" w:type="dxa"/>
            <w:vMerge w:val="continue"/>
            <w:tcBorders>
              <w:bottom w:val="single" w:color="auto" w:sz="2" w:space="0"/>
            </w:tcBorders>
            <w:shd w:val="clear" w:color="auto" w:fill="auto"/>
            <w:vAlign w:val="center"/>
          </w:tcPr>
          <w:p>
            <w:pPr>
              <w:jc w:val="left"/>
              <w:rPr>
                <w:rFonts w:ascii="宋体" w:hAnsi="宋体" w:cs="宋体"/>
                <w:kern w:val="0"/>
                <w:sz w:val="18"/>
                <w:szCs w:val="18"/>
              </w:rPr>
            </w:pPr>
          </w:p>
        </w:tc>
        <w:tc>
          <w:tcPr>
            <w:tcW w:w="573" w:type="dxa"/>
            <w:vMerge w:val="continue"/>
            <w:tcBorders>
              <w:bottom w:val="single" w:color="auto" w:sz="2" w:space="0"/>
            </w:tcBorders>
            <w:shd w:val="clear" w:color="auto" w:fill="D9D9D9"/>
            <w:vAlign w:val="center"/>
          </w:tcPr>
          <w:p>
            <w:pPr>
              <w:widowControl/>
              <w:jc w:val="left"/>
              <w:rPr>
                <w:rFonts w:ascii="宋体" w:hAnsi="宋体" w:cs="宋体"/>
                <w:kern w:val="0"/>
                <w:sz w:val="18"/>
                <w:szCs w:val="18"/>
              </w:rPr>
            </w:pP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604" w:type="dxa"/>
            <w:tcBorders>
              <w:top w:val="single" w:color="auto" w:sz="2" w:space="0"/>
              <w:bottom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甲</w:t>
            </w:r>
          </w:p>
        </w:tc>
        <w:tc>
          <w:tcPr>
            <w:tcW w:w="604" w:type="dxa"/>
            <w:tcBorders>
              <w:top w:val="single" w:color="auto" w:sz="2" w:space="0"/>
              <w:bottom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乙</w:t>
            </w:r>
          </w:p>
        </w:tc>
        <w:tc>
          <w:tcPr>
            <w:tcW w:w="602" w:type="dxa"/>
            <w:tcBorders>
              <w:top w:val="single" w:color="auto" w:sz="2" w:space="0"/>
              <w:bottom w:val="single" w:color="auto" w:sz="2" w:space="0"/>
            </w:tcBorders>
            <w:shd w:val="clear" w:color="auto" w:fill="auto"/>
            <w:vAlign w:val="center"/>
          </w:tcPr>
          <w:p>
            <w:pPr>
              <w:widowControl/>
              <w:spacing w:line="240" w:lineRule="exact"/>
              <w:jc w:val="center"/>
              <w:textAlignment w:val="center"/>
              <w:rPr>
                <w:kern w:val="0"/>
                <w:sz w:val="18"/>
                <w:szCs w:val="18"/>
              </w:rPr>
            </w:pPr>
            <w:r>
              <w:rPr>
                <w:kern w:val="0"/>
                <w:sz w:val="18"/>
                <w:szCs w:val="18"/>
              </w:rPr>
              <w:t>丙</w:t>
            </w:r>
          </w:p>
        </w:tc>
        <w:tc>
          <w:tcPr>
            <w:tcW w:w="602" w:type="dxa"/>
            <w:tcBorders>
              <w:top w:val="single" w:color="auto" w:sz="2" w:space="0"/>
              <w:bottom w:val="single" w:color="auto" w:sz="2" w:space="0"/>
            </w:tcBorders>
            <w:shd w:val="clear" w:color="auto" w:fill="auto"/>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w:t>
            </w:r>
          </w:p>
        </w:tc>
        <w:tc>
          <w:tcPr>
            <w:tcW w:w="603" w:type="dxa"/>
            <w:tcBorders>
              <w:top w:val="single" w:color="auto" w:sz="2" w:space="0"/>
              <w:bottom w:val="single" w:color="auto" w:sz="2" w:space="0"/>
            </w:tcBorders>
            <w:shd w:val="clear" w:color="auto" w:fill="auto"/>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2</w:t>
            </w:r>
          </w:p>
        </w:tc>
        <w:tc>
          <w:tcPr>
            <w:tcW w:w="613" w:type="dxa"/>
            <w:tcBorders>
              <w:top w:val="single" w:color="auto" w:sz="2" w:space="0"/>
              <w:bottom w:val="single" w:color="auto" w:sz="2" w:space="0"/>
            </w:tcBorders>
            <w:shd w:val="clear" w:color="auto" w:fill="auto"/>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3</w:t>
            </w:r>
          </w:p>
        </w:tc>
        <w:tc>
          <w:tcPr>
            <w:tcW w:w="598"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4</w:t>
            </w:r>
          </w:p>
        </w:tc>
        <w:tc>
          <w:tcPr>
            <w:tcW w:w="613"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5</w:t>
            </w:r>
          </w:p>
        </w:tc>
        <w:tc>
          <w:tcPr>
            <w:tcW w:w="601" w:type="dxa"/>
            <w:tcBorders>
              <w:top w:val="single" w:color="auto" w:sz="2" w:space="0"/>
              <w:bottom w:val="single" w:color="auto" w:sz="2" w:space="0"/>
            </w:tcBorders>
            <w:shd w:val="clear" w:color="auto" w:fill="auto"/>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6</w:t>
            </w:r>
          </w:p>
        </w:tc>
        <w:tc>
          <w:tcPr>
            <w:tcW w:w="607"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7</w:t>
            </w:r>
          </w:p>
        </w:tc>
        <w:tc>
          <w:tcPr>
            <w:tcW w:w="601" w:type="dxa"/>
            <w:tcBorders>
              <w:top w:val="single" w:color="auto" w:sz="2" w:space="0"/>
              <w:bottom w:val="single" w:color="auto" w:sz="2" w:space="0"/>
            </w:tcBorders>
            <w:shd w:val="clear" w:color="auto" w:fill="auto"/>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8</w:t>
            </w:r>
          </w:p>
        </w:tc>
        <w:tc>
          <w:tcPr>
            <w:tcW w:w="609"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9</w:t>
            </w:r>
          </w:p>
        </w:tc>
        <w:tc>
          <w:tcPr>
            <w:tcW w:w="601" w:type="dxa"/>
            <w:tcBorders>
              <w:top w:val="single" w:color="auto" w:sz="2" w:space="0"/>
              <w:bottom w:val="single" w:color="auto" w:sz="2" w:space="0"/>
            </w:tcBorders>
            <w:shd w:val="clear" w:color="auto" w:fill="auto"/>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10</w:t>
            </w:r>
          </w:p>
        </w:tc>
        <w:tc>
          <w:tcPr>
            <w:tcW w:w="607"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11</w:t>
            </w:r>
          </w:p>
        </w:tc>
        <w:tc>
          <w:tcPr>
            <w:tcW w:w="601" w:type="dxa"/>
            <w:tcBorders>
              <w:top w:val="single" w:color="auto" w:sz="2" w:space="0"/>
              <w:bottom w:val="single" w:color="auto" w:sz="2" w:space="0"/>
            </w:tcBorders>
            <w:shd w:val="clear" w:color="auto" w:fill="auto"/>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12</w:t>
            </w:r>
          </w:p>
        </w:tc>
        <w:tc>
          <w:tcPr>
            <w:tcW w:w="573" w:type="dxa"/>
            <w:tcBorders>
              <w:top w:val="single" w:color="auto" w:sz="2" w:space="0"/>
              <w:bottom w:val="single" w:color="auto" w:sz="2" w:space="0"/>
            </w:tcBorders>
            <w:shd w:val="clear" w:color="auto" w:fill="D9D9D9"/>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13</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495" w:hRule="atLeast"/>
          <w:jc w:val="center"/>
        </w:trPr>
        <w:tc>
          <w:tcPr>
            <w:tcW w:w="604" w:type="dxa"/>
            <w:tcBorders>
              <w:top w:val="single" w:color="auto" w:sz="2" w:space="0"/>
              <w:bottom w:val="single" w:color="auto" w:sz="8" w:space="0"/>
            </w:tcBorders>
            <w:vAlign w:val="center"/>
          </w:tcPr>
          <w:p>
            <w:pPr>
              <w:widowControl/>
              <w:rPr>
                <w:kern w:val="0"/>
                <w:sz w:val="18"/>
                <w:szCs w:val="18"/>
              </w:rPr>
            </w:pPr>
            <w:r>
              <w:rPr>
                <w:kern w:val="0"/>
                <w:sz w:val="18"/>
                <w:szCs w:val="18"/>
              </w:rPr>
              <w:t>　</w:t>
            </w:r>
          </w:p>
        </w:tc>
        <w:tc>
          <w:tcPr>
            <w:tcW w:w="604" w:type="dxa"/>
            <w:tcBorders>
              <w:top w:val="single" w:color="auto" w:sz="2" w:space="0"/>
              <w:bottom w:val="single" w:color="auto" w:sz="8" w:space="0"/>
            </w:tcBorders>
            <w:vAlign w:val="center"/>
          </w:tcPr>
          <w:p>
            <w:pPr>
              <w:widowControl/>
              <w:jc w:val="center"/>
              <w:rPr>
                <w:kern w:val="0"/>
                <w:sz w:val="18"/>
                <w:szCs w:val="18"/>
              </w:rPr>
            </w:pPr>
            <w:r>
              <w:rPr>
                <w:kern w:val="0"/>
                <w:sz w:val="18"/>
                <w:szCs w:val="18"/>
              </w:rPr>
              <w:t>　</w:t>
            </w:r>
          </w:p>
        </w:tc>
        <w:tc>
          <w:tcPr>
            <w:tcW w:w="602" w:type="dxa"/>
            <w:tcBorders>
              <w:top w:val="single" w:color="auto" w:sz="2" w:space="0"/>
              <w:bottom w:val="single" w:color="auto" w:sz="8" w:space="0"/>
            </w:tcBorders>
            <w:vAlign w:val="center"/>
          </w:tcPr>
          <w:p>
            <w:pPr>
              <w:widowControl/>
              <w:jc w:val="center"/>
              <w:rPr>
                <w:kern w:val="0"/>
                <w:sz w:val="18"/>
                <w:szCs w:val="18"/>
              </w:rPr>
            </w:pPr>
            <w:r>
              <w:rPr>
                <w:kern w:val="0"/>
                <w:sz w:val="18"/>
                <w:szCs w:val="18"/>
              </w:rPr>
              <w:t>　</w:t>
            </w:r>
          </w:p>
        </w:tc>
        <w:tc>
          <w:tcPr>
            <w:tcW w:w="7829" w:type="dxa"/>
            <w:gridSpan w:val="13"/>
            <w:tcBorders>
              <w:top w:val="single" w:color="auto" w:sz="2" w:space="0"/>
              <w:bottom w:val="single" w:color="auto" w:sz="8" w:space="0"/>
            </w:tcBorders>
            <w:vAlign w:val="center"/>
          </w:tcPr>
          <w:p>
            <w:pPr>
              <w:widowControl/>
              <w:jc w:val="center"/>
              <w:rPr>
                <w:kern w:val="0"/>
                <w:sz w:val="18"/>
                <w:szCs w:val="18"/>
              </w:rPr>
            </w:pPr>
            <w:r>
              <w:rPr>
                <w:kern w:val="0"/>
                <w:sz w:val="18"/>
                <w:szCs w:val="18"/>
              </w:rPr>
              <w:t>　</w:t>
            </w:r>
          </w:p>
        </w:tc>
      </w:tr>
    </w:tbl>
    <w:p>
      <w:pPr>
        <w:spacing w:line="20" w:lineRule="exact"/>
        <w:jc w:val="center"/>
        <w:rPr>
          <w:bCs/>
          <w:kern w:val="0"/>
          <w:sz w:val="18"/>
          <w:szCs w:val="18"/>
        </w:rPr>
      </w:pPr>
    </w:p>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rPr>
          <w:sz w:val="18"/>
          <w:szCs w:val="18"/>
        </w:rPr>
      </w:pPr>
    </w:p>
    <w:p>
      <w:pPr>
        <w:spacing w:line="280" w:lineRule="exact"/>
        <w:ind w:left="1548" w:hanging="1548" w:hangingChars="860"/>
        <w:rPr>
          <w:rFonts w:ascii="宋体" w:hAnsi="宋体" w:cs="宋体"/>
          <w:sz w:val="18"/>
          <w:szCs w:val="18"/>
        </w:rPr>
      </w:pPr>
      <w:r>
        <w:rPr>
          <w:sz w:val="18"/>
          <w:szCs w:val="18"/>
        </w:rPr>
        <w:t>说明：</w:t>
      </w:r>
      <w:r>
        <w:rPr>
          <w:rFonts w:hint="eastAsia" w:ascii="宋体" w:hAnsi="宋体" w:cs="宋体"/>
          <w:sz w:val="18"/>
          <w:szCs w:val="18"/>
        </w:rPr>
        <w:t>1.统计范围：辖区内规模以上工业、有资质的建筑业、限额以上批发和零售业、限额以上住宿和餐饮业、有开发</w:t>
      </w:r>
    </w:p>
    <w:p>
      <w:pPr>
        <w:spacing w:line="280" w:lineRule="exact"/>
        <w:ind w:left="1606" w:leftChars="765" w:firstLine="18" w:firstLineChars="10"/>
        <w:rPr>
          <w:rFonts w:ascii="宋体" w:hAnsi="宋体" w:cs="宋体"/>
          <w:sz w:val="18"/>
          <w:szCs w:val="18"/>
        </w:rPr>
      </w:pPr>
      <w:r>
        <w:rPr>
          <w:rFonts w:hint="eastAsia" w:ascii="宋体" w:hAnsi="宋体" w:cs="宋体"/>
          <w:sz w:val="18"/>
          <w:szCs w:val="18"/>
        </w:rPr>
        <w:t>经营活动的全部房地产开发经营业和规模以上服务业等重点法人单位。</w:t>
      </w:r>
    </w:p>
    <w:p>
      <w:pPr>
        <w:spacing w:line="280" w:lineRule="exact"/>
        <w:ind w:left="2134" w:leftChars="245" w:hanging="1620" w:hangingChars="900"/>
        <w:rPr>
          <w:rFonts w:ascii="宋体" w:hAnsi="宋体" w:cs="宋体"/>
        </w:rPr>
      </w:pPr>
      <w:r>
        <w:rPr>
          <w:rFonts w:hint="eastAsia" w:ascii="宋体" w:hAnsi="宋体" w:cs="宋体"/>
          <w:sz w:val="18"/>
          <w:szCs w:val="18"/>
        </w:rPr>
        <w:t>2.报送日期及方式：</w:t>
      </w:r>
      <w:r>
        <w:rPr>
          <w:rFonts w:hint="eastAsia" w:ascii="宋体" w:hAnsi="宋体" w:cs="宋体"/>
          <w:sz w:val="18"/>
        </w:rPr>
        <w:t>调查单位</w:t>
      </w:r>
      <w:r>
        <w:rPr>
          <w:rFonts w:hint="eastAsia" w:ascii="宋体" w:hAnsi="宋体"/>
          <w:sz w:val="18"/>
          <w:szCs w:val="18"/>
        </w:rPr>
        <w:t>2、10月月后5日，3、4月月后8日，5、6、8、11、12月月后7日，7月月后6日，9月月后9日12:00前</w:t>
      </w:r>
      <w:r>
        <w:rPr>
          <w:rFonts w:hint="eastAsia" w:ascii="宋体" w:hAnsi="宋体" w:cs="宋体"/>
          <w:sz w:val="18"/>
        </w:rPr>
        <w:t>独立自行网上填报，1月免报；市级统计机构</w:t>
      </w:r>
      <w:r>
        <w:rPr>
          <w:rFonts w:hint="eastAsia" w:ascii="宋体" w:hAnsi="宋体"/>
          <w:sz w:val="18"/>
          <w:szCs w:val="18"/>
        </w:rPr>
        <w:t>2、5、6、7、8、10、11月月后9日，3、4、12月月后10日，9月月后12日12:00</w:t>
      </w:r>
      <w:r>
        <w:rPr>
          <w:rFonts w:hint="eastAsia" w:ascii="宋体" w:hAnsi="宋体" w:cs="宋体"/>
          <w:sz w:val="18"/>
        </w:rPr>
        <w:t>前完成数据审核、验收、上报。</w:t>
      </w:r>
      <w:bookmarkStart w:id="0" w:name="RANGE!A1:I13"/>
    </w:p>
    <w:p>
      <w:pPr>
        <w:spacing w:line="280" w:lineRule="exact"/>
        <w:ind w:left="2160" w:leftChars="257" w:hanging="1620" w:hangingChars="900"/>
        <w:rPr>
          <w:rFonts w:ascii="宋体" w:hAnsi="宋体" w:cs="宋体"/>
          <w:bCs/>
          <w:kern w:val="0"/>
          <w:sz w:val="18"/>
          <w:szCs w:val="18"/>
        </w:rPr>
      </w:pPr>
      <w:r>
        <w:rPr>
          <w:rFonts w:ascii="宋体" w:hAnsi="宋体" w:cs="宋体"/>
          <w:bCs/>
          <w:kern w:val="0"/>
          <w:sz w:val="18"/>
          <w:szCs w:val="18"/>
        </w:rPr>
        <w:t>3.</w:t>
      </w:r>
      <w:r>
        <w:rPr>
          <w:rFonts w:hint="eastAsia" w:ascii="宋体" w:hAnsi="宋体" w:cs="宋体"/>
          <w:sz w:val="18"/>
        </w:rPr>
        <w:t>本表甲栏下</w:t>
      </w:r>
      <w:r>
        <w:rPr>
          <w:rFonts w:hint="eastAsia" w:ascii="宋体" w:hAnsi="宋体" w:cs="宋体"/>
          <w:sz w:val="18"/>
          <w:szCs w:val="18"/>
        </w:rPr>
        <w:t>按《能源生产、销售与库存目录》填报。</w:t>
      </w:r>
    </w:p>
    <w:p>
      <w:pPr>
        <w:tabs>
          <w:tab w:val="left" w:pos="5430"/>
        </w:tabs>
        <w:adjustRightInd w:val="0"/>
        <w:spacing w:line="280" w:lineRule="exact"/>
        <w:ind w:left="650" w:leftChars="250" w:hanging="125" w:hangingChars="70"/>
        <w:rPr>
          <w:rFonts w:ascii="宋体" w:hAnsi="宋体" w:cs="宋体"/>
          <w:sz w:val="18"/>
        </w:rPr>
      </w:pPr>
      <w:r>
        <w:rPr>
          <w:rFonts w:ascii="宋体" w:hAnsi="宋体" w:cs="宋体"/>
          <w:bCs/>
          <w:kern w:val="0"/>
          <w:sz w:val="18"/>
          <w:szCs w:val="18"/>
        </w:rPr>
        <w:t>4.</w:t>
      </w:r>
      <w:r>
        <w:rPr>
          <w:rFonts w:ascii="宋体" w:hAnsi="宋体" w:cs="宋体"/>
          <w:sz w:val="18"/>
        </w:rPr>
        <w:t>本</w:t>
      </w:r>
      <w:r>
        <w:rPr>
          <w:rFonts w:hint="eastAsia" w:ascii="宋体" w:hAnsi="宋体" w:cs="宋体"/>
          <w:sz w:val="18"/>
        </w:rPr>
        <w:t>表中“上年同期”数据统一由国家统计局在数据处理软件中复制；本</w:t>
      </w:r>
      <w:r>
        <w:rPr>
          <w:rFonts w:hint="eastAsia" w:ascii="宋体" w:hAnsi="宋体" w:cs="宋体"/>
          <w:sz w:val="18"/>
        </w:rPr>
        <w:t>年新增的调查单位自行填报</w:t>
      </w:r>
      <w:r>
        <w:rPr>
          <w:rFonts w:hint="eastAsia" w:ascii="宋体" w:hAnsi="宋体" w:cs="宋体"/>
          <w:sz w:val="18"/>
        </w:rPr>
        <w:t>“上年同期”</w:t>
      </w:r>
    </w:p>
    <w:p>
      <w:pPr>
        <w:tabs>
          <w:tab w:val="left" w:pos="5430"/>
        </w:tabs>
        <w:adjustRightInd w:val="0"/>
        <w:spacing w:line="280" w:lineRule="exact"/>
        <w:ind w:left="831" w:leftChars="250" w:hanging="306" w:hangingChars="170"/>
        <w:rPr>
          <w:rFonts w:ascii="宋体" w:hAnsi="宋体" w:cs="宋体"/>
          <w:sz w:val="18"/>
        </w:rPr>
      </w:pPr>
      <w:r>
        <w:rPr>
          <w:rFonts w:hint="eastAsia" w:ascii="宋体" w:hAnsi="宋体" w:cs="宋体"/>
          <w:sz w:val="18"/>
        </w:rPr>
        <w:t xml:space="preserve">  数据；涉及兼并、重组等情况的企业，经国家统计局批准后，调查单位可调整同期数；本年新增指标的同期数</w:t>
      </w:r>
    </w:p>
    <w:p>
      <w:pPr>
        <w:tabs>
          <w:tab w:val="left" w:pos="5430"/>
        </w:tabs>
        <w:adjustRightInd w:val="0"/>
        <w:spacing w:line="280" w:lineRule="exact"/>
        <w:ind w:left="831" w:leftChars="250" w:hanging="306" w:hangingChars="170"/>
        <w:rPr>
          <w:rFonts w:ascii="宋体" w:hAnsi="宋体" w:cs="宋体"/>
          <w:sz w:val="18"/>
          <w:szCs w:val="18"/>
        </w:rPr>
      </w:pPr>
      <w:r>
        <w:rPr>
          <w:rFonts w:hint="eastAsia" w:ascii="宋体" w:hAnsi="宋体" w:cs="宋体"/>
          <w:sz w:val="18"/>
        </w:rPr>
        <w:t xml:space="preserve">  由调查单位自行填报。</w:t>
      </w:r>
    </w:p>
    <w:p>
      <w:pPr>
        <w:tabs>
          <w:tab w:val="left" w:pos="5430"/>
        </w:tabs>
        <w:adjustRightInd w:val="0"/>
        <w:spacing w:line="280" w:lineRule="exact"/>
        <w:ind w:left="831" w:leftChars="250" w:hanging="306" w:hangingChars="170"/>
        <w:rPr>
          <w:rFonts w:ascii="宋体" w:hAnsi="宋体" w:cs="宋体"/>
          <w:sz w:val="18"/>
          <w:szCs w:val="24"/>
        </w:rPr>
      </w:pPr>
    </w:p>
    <w:p>
      <w:pPr>
        <w:spacing w:line="240" w:lineRule="exact"/>
        <w:ind w:left="2430" w:leftChars="257" w:hanging="1890" w:hangingChars="900"/>
        <w:rPr>
          <w:rFonts w:ascii="宋体" w:hAnsi="宋体" w:cs="宋体"/>
        </w:rPr>
      </w:pPr>
    </w:p>
    <w:p>
      <w:pPr>
        <w:snapToGrid w:val="0"/>
        <w:spacing w:beforeLines="100" w:afterLines="100"/>
        <w:jc w:val="center"/>
        <w:outlineLvl w:val="2"/>
        <w:rPr>
          <w:sz w:val="32"/>
        </w:rPr>
      </w:pPr>
      <w:r>
        <w:rPr>
          <w:rFonts w:eastAsia="仿宋_GB2312"/>
          <w:sz w:val="30"/>
          <w:szCs w:val="30"/>
        </w:rPr>
        <w:br w:type="page"/>
      </w:r>
      <w:bookmarkEnd w:id="0"/>
      <w:r>
        <w:rPr>
          <w:sz w:val="32"/>
        </w:rPr>
        <w:t>重点能源商品经销情况</w:t>
      </w:r>
    </w:p>
    <w:tbl>
      <w:tblPr>
        <w:tblStyle w:val="25"/>
        <w:tblW w:w="9483" w:type="dxa"/>
        <w:jc w:val="center"/>
        <w:tblInd w:w="0" w:type="dxa"/>
        <w:tblLayout w:type="fixed"/>
        <w:tblCellMar>
          <w:top w:w="0" w:type="dxa"/>
          <w:left w:w="108" w:type="dxa"/>
          <w:bottom w:w="0" w:type="dxa"/>
          <w:right w:w="108" w:type="dxa"/>
        </w:tblCellMar>
      </w:tblPr>
      <w:tblGrid>
        <w:gridCol w:w="1136"/>
        <w:gridCol w:w="908"/>
        <w:gridCol w:w="1459"/>
        <w:gridCol w:w="160"/>
        <w:gridCol w:w="226"/>
        <w:gridCol w:w="850"/>
        <w:gridCol w:w="2140"/>
        <w:gridCol w:w="902"/>
        <w:gridCol w:w="1702"/>
      </w:tblGrid>
      <w:tr>
        <w:tblPrEx>
          <w:tblLayout w:type="fixed"/>
          <w:tblCellMar>
            <w:top w:w="0" w:type="dxa"/>
            <w:left w:w="108" w:type="dxa"/>
            <w:bottom w:w="0" w:type="dxa"/>
            <w:right w:w="108" w:type="dxa"/>
          </w:tblCellMar>
        </w:tblPrEx>
        <w:trPr>
          <w:jc w:val="center"/>
        </w:trPr>
        <w:tc>
          <w:tcPr>
            <w:tcW w:w="1136" w:type="dxa"/>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908" w:type="dxa"/>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1459" w:type="dxa"/>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386" w:type="dxa"/>
            <w:gridSpan w:val="2"/>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850" w:type="dxa"/>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2140" w:type="dxa"/>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902" w:type="dxa"/>
            <w:tcBorders>
              <w:top w:val="nil"/>
              <w:left w:val="nil"/>
              <w:bottom w:val="nil"/>
              <w:right w:val="nil"/>
            </w:tcBorders>
            <w:tcMar>
              <w:left w:w="28" w:type="dxa"/>
              <w:right w:w="28" w:type="dxa"/>
            </w:tcMar>
            <w:vAlign w:val="center"/>
          </w:tcPr>
          <w:p>
            <w:pPr>
              <w:widowControl/>
              <w:adjustRightInd w:val="0"/>
              <w:snapToGrid w:val="0"/>
              <w:spacing w:line="240" w:lineRule="atLeast"/>
              <w:ind w:right="-105" w:rightChars="-50" w:firstLine="90" w:firstLineChars="50"/>
              <w:jc w:val="left"/>
              <w:rPr>
                <w:kern w:val="0"/>
                <w:sz w:val="18"/>
                <w:szCs w:val="18"/>
              </w:rPr>
            </w:pPr>
            <w:r>
              <w:rPr>
                <w:kern w:val="0"/>
                <w:sz w:val="18"/>
                <w:szCs w:val="18"/>
              </w:rPr>
              <w:t>表　　号：</w:t>
            </w:r>
          </w:p>
        </w:tc>
        <w:tc>
          <w:tcPr>
            <w:tcW w:w="1702" w:type="dxa"/>
            <w:tcBorders>
              <w:top w:val="nil"/>
              <w:left w:val="nil"/>
              <w:bottom w:val="nil"/>
              <w:right w:val="nil"/>
            </w:tcBorders>
            <w:tcMar>
              <w:left w:w="28" w:type="dxa"/>
              <w:right w:w="28" w:type="dxa"/>
            </w:tcMar>
            <w:vAlign w:val="center"/>
          </w:tcPr>
          <w:p>
            <w:pPr>
              <w:widowControl/>
              <w:adjustRightInd w:val="0"/>
              <w:snapToGrid w:val="0"/>
              <w:spacing w:line="240" w:lineRule="atLeast"/>
              <w:jc w:val="distribute"/>
              <w:rPr>
                <w:spacing w:val="-2"/>
                <w:kern w:val="0"/>
                <w:sz w:val="18"/>
                <w:szCs w:val="18"/>
              </w:rPr>
            </w:pPr>
            <w:r>
              <w:rPr>
                <w:spacing w:val="-2"/>
                <w:kern w:val="0"/>
                <w:sz w:val="18"/>
                <w:szCs w:val="18"/>
              </w:rPr>
              <w:t>２０５－７表</w:t>
            </w:r>
          </w:p>
        </w:tc>
      </w:tr>
      <w:tr>
        <w:tblPrEx>
          <w:tblLayout w:type="fixed"/>
          <w:tblCellMar>
            <w:top w:w="0" w:type="dxa"/>
            <w:left w:w="108" w:type="dxa"/>
            <w:bottom w:w="0" w:type="dxa"/>
            <w:right w:w="108" w:type="dxa"/>
          </w:tblCellMar>
        </w:tblPrEx>
        <w:trPr>
          <w:jc w:val="center"/>
        </w:trPr>
        <w:tc>
          <w:tcPr>
            <w:tcW w:w="1136" w:type="dxa"/>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908" w:type="dxa"/>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1459" w:type="dxa"/>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386" w:type="dxa"/>
            <w:gridSpan w:val="2"/>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850" w:type="dxa"/>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2140" w:type="dxa"/>
            <w:tcBorders>
              <w:top w:val="nil"/>
              <w:left w:val="nil"/>
              <w:bottom w:val="nil"/>
              <w:right w:val="nil"/>
            </w:tcBorders>
            <w:tcMar>
              <w:left w:w="28" w:type="dxa"/>
              <w:right w:w="28" w:type="dxa"/>
            </w:tcMar>
            <w:vAlign w:val="center"/>
          </w:tcPr>
          <w:p>
            <w:pPr>
              <w:widowControl/>
              <w:adjustRightInd w:val="0"/>
              <w:snapToGrid w:val="0"/>
              <w:spacing w:line="240" w:lineRule="atLeast"/>
              <w:jc w:val="left"/>
              <w:rPr>
                <w:kern w:val="0"/>
                <w:sz w:val="18"/>
                <w:szCs w:val="18"/>
              </w:rPr>
            </w:pPr>
          </w:p>
        </w:tc>
        <w:tc>
          <w:tcPr>
            <w:tcW w:w="902" w:type="dxa"/>
            <w:tcBorders>
              <w:top w:val="nil"/>
              <w:left w:val="nil"/>
              <w:bottom w:val="nil"/>
              <w:right w:val="nil"/>
            </w:tcBorders>
            <w:tcMar>
              <w:left w:w="28" w:type="dxa"/>
              <w:right w:w="28" w:type="dxa"/>
            </w:tcMar>
            <w:vAlign w:val="center"/>
          </w:tcPr>
          <w:p>
            <w:pPr>
              <w:widowControl/>
              <w:adjustRightInd w:val="0"/>
              <w:snapToGrid w:val="0"/>
              <w:spacing w:line="240" w:lineRule="atLeast"/>
              <w:ind w:right="-105" w:rightChars="-50" w:firstLine="90" w:firstLineChars="50"/>
              <w:jc w:val="left"/>
              <w:rPr>
                <w:kern w:val="0"/>
                <w:sz w:val="18"/>
                <w:szCs w:val="18"/>
              </w:rPr>
            </w:pPr>
            <w:r>
              <w:rPr>
                <w:kern w:val="0"/>
                <w:sz w:val="18"/>
                <w:szCs w:val="18"/>
              </w:rPr>
              <w:t>制</w:t>
            </w:r>
            <w:r>
              <w:rPr>
                <w:rFonts w:hint="eastAsia"/>
                <w:kern w:val="0"/>
                <w:sz w:val="18"/>
                <w:szCs w:val="18"/>
              </w:rPr>
              <w:t>定</w:t>
            </w:r>
            <w:r>
              <w:rPr>
                <w:kern w:val="0"/>
                <w:sz w:val="18"/>
                <w:szCs w:val="18"/>
              </w:rPr>
              <w:t>机关：</w:t>
            </w:r>
          </w:p>
        </w:tc>
        <w:tc>
          <w:tcPr>
            <w:tcW w:w="1702" w:type="dxa"/>
            <w:tcBorders>
              <w:top w:val="nil"/>
              <w:left w:val="nil"/>
              <w:bottom w:val="nil"/>
              <w:right w:val="nil"/>
            </w:tcBorders>
            <w:tcMar>
              <w:left w:w="28" w:type="dxa"/>
              <w:right w:w="28" w:type="dxa"/>
            </w:tcMar>
            <w:vAlign w:val="center"/>
          </w:tcPr>
          <w:p>
            <w:pPr>
              <w:widowControl/>
              <w:adjustRightInd w:val="0"/>
              <w:snapToGrid w:val="0"/>
              <w:spacing w:line="240" w:lineRule="atLeast"/>
              <w:jc w:val="distribute"/>
              <w:rPr>
                <w:spacing w:val="-2"/>
                <w:kern w:val="0"/>
                <w:sz w:val="18"/>
                <w:szCs w:val="18"/>
              </w:rPr>
            </w:pPr>
            <w:r>
              <w:rPr>
                <w:spacing w:val="-2"/>
                <w:kern w:val="0"/>
                <w:sz w:val="18"/>
                <w:szCs w:val="18"/>
              </w:rPr>
              <w:t>国家统计局</w:t>
            </w:r>
          </w:p>
        </w:tc>
      </w:tr>
      <w:tr>
        <w:tblPrEx>
          <w:tblLayout w:type="fixed"/>
          <w:tblCellMar>
            <w:top w:w="0" w:type="dxa"/>
            <w:left w:w="108" w:type="dxa"/>
            <w:bottom w:w="0" w:type="dxa"/>
            <w:right w:w="108" w:type="dxa"/>
          </w:tblCellMar>
        </w:tblPrEx>
        <w:trPr>
          <w:trHeight w:val="87" w:hRule="atLeast"/>
          <w:jc w:val="center"/>
        </w:trPr>
        <w:tc>
          <w:tcPr>
            <w:tcW w:w="6879" w:type="dxa"/>
            <w:gridSpan w:val="7"/>
            <w:tcBorders>
              <w:top w:val="nil"/>
              <w:left w:val="nil"/>
              <w:bottom w:val="nil"/>
              <w:right w:val="nil"/>
            </w:tcBorders>
            <w:tcMar>
              <w:left w:w="28" w:type="dxa"/>
              <w:right w:w="28" w:type="dxa"/>
            </w:tcMar>
          </w:tcPr>
          <w:p>
            <w:pPr>
              <w:widowControl/>
              <w:adjustRightInd w:val="0"/>
              <w:snapToGrid w:val="0"/>
              <w:spacing w:line="240" w:lineRule="atLeast"/>
              <w:jc w:val="left"/>
              <w:rPr>
                <w:kern w:val="0"/>
                <w:sz w:val="18"/>
                <w:szCs w:val="18"/>
              </w:rPr>
            </w:pPr>
            <w:r>
              <w:rPr>
                <w:sz w:val="18"/>
                <w:szCs w:val="18"/>
              </w:rPr>
              <w:t>统一社会信用代码</w:t>
            </w:r>
            <w:r>
              <w:rPr>
                <w:rFonts w:hint="eastAsia" w:ascii="宋体" w:hAnsi="宋体" w:cs="宋体"/>
                <w:color w:val="000000"/>
                <w:kern w:val="0"/>
                <w:sz w:val="18"/>
                <w:szCs w:val="18"/>
              </w:rPr>
              <w:t>□□□□□□□□□□□□□□□□□□</w:t>
            </w:r>
          </w:p>
        </w:tc>
        <w:tc>
          <w:tcPr>
            <w:tcW w:w="902" w:type="dxa"/>
            <w:tcBorders>
              <w:top w:val="nil"/>
              <w:left w:val="nil"/>
              <w:bottom w:val="nil"/>
              <w:right w:val="nil"/>
            </w:tcBorders>
            <w:tcMar>
              <w:left w:w="28" w:type="dxa"/>
              <w:right w:w="28" w:type="dxa"/>
            </w:tcMar>
            <w:vAlign w:val="center"/>
          </w:tcPr>
          <w:p>
            <w:pPr>
              <w:widowControl/>
              <w:adjustRightInd w:val="0"/>
              <w:snapToGrid w:val="0"/>
              <w:spacing w:line="240" w:lineRule="atLeast"/>
              <w:ind w:right="-105" w:rightChars="-50" w:firstLine="90" w:firstLineChars="50"/>
              <w:jc w:val="left"/>
              <w:rPr>
                <w:kern w:val="0"/>
                <w:sz w:val="18"/>
                <w:szCs w:val="18"/>
              </w:rPr>
            </w:pPr>
            <w:r>
              <w:rPr>
                <w:kern w:val="0"/>
                <w:sz w:val="18"/>
                <w:szCs w:val="18"/>
              </w:rPr>
              <w:t>文　　号：</w:t>
            </w:r>
          </w:p>
        </w:tc>
        <w:tc>
          <w:tcPr>
            <w:tcW w:w="1702" w:type="dxa"/>
            <w:tcBorders>
              <w:top w:val="nil"/>
              <w:left w:val="nil"/>
              <w:bottom w:val="nil"/>
              <w:right w:val="nil"/>
            </w:tcBorders>
            <w:tcMar>
              <w:left w:w="28" w:type="dxa"/>
              <w:right w:w="28" w:type="dxa"/>
            </w:tcMar>
            <w:vAlign w:val="center"/>
          </w:tcPr>
          <w:p>
            <w:pPr>
              <w:widowControl/>
              <w:adjustRightInd w:val="0"/>
              <w:snapToGrid w:val="0"/>
              <w:spacing w:line="240" w:lineRule="atLeast"/>
              <w:jc w:val="distribute"/>
              <w:rPr>
                <w:spacing w:val="-2"/>
                <w:kern w:val="0"/>
                <w:sz w:val="18"/>
                <w:szCs w:val="18"/>
              </w:rPr>
            </w:pPr>
            <w:r>
              <w:rPr>
                <w:rFonts w:hint="eastAsia" w:ascii="宋体" w:hAnsi="宋体"/>
                <w:spacing w:val="-2"/>
                <w:kern w:val="0"/>
                <w:sz w:val="18"/>
                <w:szCs w:val="18"/>
              </w:rPr>
              <w:t>国统字〔2020〕105 号</w:t>
            </w:r>
          </w:p>
        </w:tc>
      </w:tr>
      <w:tr>
        <w:tblPrEx>
          <w:tblLayout w:type="fixed"/>
          <w:tblCellMar>
            <w:top w:w="0" w:type="dxa"/>
            <w:left w:w="108" w:type="dxa"/>
            <w:bottom w:w="0" w:type="dxa"/>
            <w:right w:w="108" w:type="dxa"/>
          </w:tblCellMar>
        </w:tblPrEx>
        <w:trPr>
          <w:jc w:val="center"/>
        </w:trPr>
        <w:tc>
          <w:tcPr>
            <w:tcW w:w="6879" w:type="dxa"/>
            <w:gridSpan w:val="7"/>
            <w:tcBorders>
              <w:top w:val="nil"/>
              <w:left w:val="nil"/>
              <w:bottom w:val="nil"/>
            </w:tcBorders>
            <w:tcMar>
              <w:left w:w="28" w:type="dxa"/>
              <w:right w:w="28" w:type="dxa"/>
            </w:tcMar>
          </w:tcPr>
          <w:p>
            <w:pPr>
              <w:widowControl/>
              <w:adjustRightInd w:val="0"/>
              <w:snapToGrid w:val="0"/>
              <w:spacing w:line="240" w:lineRule="atLeast"/>
              <w:jc w:val="left"/>
              <w:rPr>
                <w:kern w:val="0"/>
                <w:sz w:val="18"/>
                <w:szCs w:val="18"/>
              </w:rPr>
            </w:pPr>
            <w:r>
              <w:rPr>
                <w:rFonts w:hint="eastAsia"/>
                <w:sz w:val="18"/>
                <w:szCs w:val="18"/>
              </w:rPr>
              <w:t>尚未</w:t>
            </w:r>
            <w:r>
              <w:rPr>
                <w:sz w:val="18"/>
                <w:szCs w:val="18"/>
              </w:rPr>
              <w:t>领取统一社会信用代码</w:t>
            </w:r>
            <w:r>
              <w:rPr>
                <w:rFonts w:hint="eastAsia"/>
                <w:sz w:val="18"/>
                <w:szCs w:val="18"/>
              </w:rPr>
              <w:t>的</w:t>
            </w:r>
            <w:r>
              <w:rPr>
                <w:sz w:val="18"/>
                <w:szCs w:val="18"/>
              </w:rPr>
              <w:t>填</w:t>
            </w:r>
            <w:r>
              <w:rPr>
                <w:rFonts w:hint="eastAsia"/>
                <w:sz w:val="18"/>
                <w:szCs w:val="18"/>
              </w:rPr>
              <w:t>写</w:t>
            </w:r>
            <w:r>
              <w:rPr>
                <w:sz w:val="18"/>
                <w:szCs w:val="18"/>
              </w:rPr>
              <w:t>原组织机构代码</w:t>
            </w:r>
            <w:r>
              <w:rPr>
                <w:rFonts w:hint="eastAsia" w:ascii="宋体" w:hAnsi="宋体" w:cs="宋体"/>
                <w:color w:val="000000"/>
                <w:kern w:val="0"/>
                <w:sz w:val="18"/>
                <w:szCs w:val="18"/>
              </w:rPr>
              <w:t>□□□□□□□□</w:t>
            </w:r>
            <w:r>
              <w:rPr>
                <w:rFonts w:hint="eastAsia" w:ascii="宋体" w:hAnsi="宋体" w:cs="宋体"/>
                <w:sz w:val="18"/>
                <w:szCs w:val="18"/>
              </w:rPr>
              <w:t>-□</w:t>
            </w:r>
          </w:p>
        </w:tc>
        <w:tc>
          <w:tcPr>
            <w:tcW w:w="902" w:type="dxa"/>
            <w:tcBorders>
              <w:top w:val="nil"/>
              <w:left w:val="nil"/>
              <w:bottom w:val="nil"/>
            </w:tcBorders>
            <w:tcMar>
              <w:left w:w="28" w:type="dxa"/>
              <w:right w:w="28" w:type="dxa"/>
            </w:tcMar>
          </w:tcPr>
          <w:p>
            <w:pPr>
              <w:adjustRightInd w:val="0"/>
              <w:snapToGrid w:val="0"/>
              <w:spacing w:line="240" w:lineRule="atLeast"/>
              <w:ind w:right="-105" w:rightChars="-50" w:firstLine="90" w:firstLineChars="50"/>
              <w:rPr>
                <w:kern w:val="0"/>
                <w:sz w:val="18"/>
                <w:szCs w:val="18"/>
              </w:rPr>
            </w:pPr>
            <w:r>
              <w:rPr>
                <w:kern w:val="0"/>
                <w:sz w:val="18"/>
                <w:szCs w:val="18"/>
              </w:rPr>
              <w:t>有效期至：</w:t>
            </w:r>
          </w:p>
        </w:tc>
        <w:tc>
          <w:tcPr>
            <w:tcW w:w="1702" w:type="dxa"/>
            <w:tcBorders>
              <w:top w:val="nil"/>
              <w:left w:val="nil"/>
              <w:bottom w:val="nil"/>
            </w:tcBorders>
            <w:tcMar>
              <w:left w:w="28" w:type="dxa"/>
              <w:right w:w="28" w:type="dxa"/>
            </w:tcMar>
            <w:vAlign w:val="center"/>
          </w:tcPr>
          <w:p>
            <w:pPr>
              <w:widowControl/>
              <w:adjustRightInd w:val="0"/>
              <w:snapToGrid w:val="0"/>
              <w:spacing w:line="240" w:lineRule="atLeast"/>
              <w:jc w:val="distribute"/>
              <w:rPr>
                <w:spacing w:val="-2"/>
                <w:kern w:val="0"/>
                <w:sz w:val="18"/>
                <w:szCs w:val="18"/>
              </w:rPr>
            </w:pPr>
            <w:r>
              <w:rPr>
                <w:spacing w:val="-2"/>
                <w:kern w:val="0"/>
                <w:sz w:val="18"/>
                <w:szCs w:val="18"/>
              </w:rPr>
              <w:t>２０２２年１月</w:t>
            </w:r>
          </w:p>
        </w:tc>
      </w:tr>
      <w:tr>
        <w:tblPrEx>
          <w:tblLayout w:type="fixed"/>
          <w:tblCellMar>
            <w:top w:w="0" w:type="dxa"/>
            <w:left w:w="108" w:type="dxa"/>
            <w:bottom w:w="0" w:type="dxa"/>
            <w:right w:w="108" w:type="dxa"/>
          </w:tblCellMar>
        </w:tblPrEx>
        <w:trPr>
          <w:jc w:val="center"/>
        </w:trPr>
        <w:tc>
          <w:tcPr>
            <w:tcW w:w="3663" w:type="dxa"/>
            <w:gridSpan w:val="4"/>
            <w:tcBorders>
              <w:top w:val="nil"/>
              <w:left w:val="nil"/>
              <w:right w:val="nil"/>
            </w:tcBorders>
            <w:tcMar>
              <w:left w:w="28" w:type="dxa"/>
              <w:right w:w="28" w:type="dxa"/>
            </w:tcMar>
            <w:vAlign w:val="center"/>
          </w:tcPr>
          <w:p>
            <w:pPr>
              <w:widowControl/>
              <w:adjustRightInd w:val="0"/>
              <w:snapToGrid w:val="0"/>
              <w:spacing w:line="240" w:lineRule="atLeast"/>
              <w:jc w:val="left"/>
              <w:rPr>
                <w:kern w:val="0"/>
                <w:sz w:val="18"/>
                <w:szCs w:val="18"/>
              </w:rPr>
            </w:pPr>
            <w:r>
              <w:rPr>
                <w:kern w:val="0"/>
                <w:sz w:val="18"/>
                <w:szCs w:val="18"/>
              </w:rPr>
              <w:t>单位详细名称：　</w:t>
            </w:r>
          </w:p>
        </w:tc>
        <w:tc>
          <w:tcPr>
            <w:tcW w:w="3216" w:type="dxa"/>
            <w:gridSpan w:val="3"/>
            <w:tcBorders>
              <w:top w:val="nil"/>
              <w:left w:val="nil"/>
            </w:tcBorders>
            <w:tcMar>
              <w:left w:w="28" w:type="dxa"/>
              <w:right w:w="28" w:type="dxa"/>
            </w:tcMar>
          </w:tcPr>
          <w:p>
            <w:pPr>
              <w:adjustRightInd w:val="0"/>
              <w:snapToGrid w:val="0"/>
              <w:spacing w:line="240" w:lineRule="atLeast"/>
              <w:ind w:firstLine="540" w:firstLineChars="300"/>
              <w:rPr>
                <w:kern w:val="0"/>
                <w:sz w:val="18"/>
                <w:szCs w:val="18"/>
              </w:rPr>
            </w:pPr>
            <w:r>
              <w:rPr>
                <w:kern w:val="0"/>
                <w:sz w:val="18"/>
                <w:szCs w:val="18"/>
              </w:rPr>
              <w:t>２０　　年　</w:t>
            </w:r>
            <w:r>
              <w:rPr>
                <w:rFonts w:hint="eastAsia"/>
                <w:kern w:val="0"/>
                <w:sz w:val="18"/>
                <w:szCs w:val="18"/>
              </w:rPr>
              <w:t>１</w:t>
            </w:r>
            <w:r>
              <w:rPr>
                <w:kern w:val="0"/>
                <w:sz w:val="18"/>
                <w:szCs w:val="18"/>
              </w:rPr>
              <w:t>－　月</w:t>
            </w:r>
          </w:p>
        </w:tc>
        <w:tc>
          <w:tcPr>
            <w:tcW w:w="902" w:type="dxa"/>
            <w:tcBorders>
              <w:top w:val="nil"/>
              <w:left w:val="nil"/>
            </w:tcBorders>
            <w:tcMar>
              <w:left w:w="28" w:type="dxa"/>
              <w:right w:w="28" w:type="dxa"/>
            </w:tcMar>
          </w:tcPr>
          <w:p>
            <w:pPr>
              <w:adjustRightInd w:val="0"/>
              <w:snapToGrid w:val="0"/>
              <w:spacing w:line="240" w:lineRule="atLeast"/>
              <w:ind w:right="-105" w:rightChars="-50" w:firstLine="90" w:firstLineChars="50"/>
              <w:rPr>
                <w:kern w:val="0"/>
                <w:sz w:val="18"/>
                <w:szCs w:val="18"/>
              </w:rPr>
            </w:pPr>
            <w:r>
              <w:rPr>
                <w:kern w:val="0"/>
                <w:sz w:val="18"/>
                <w:szCs w:val="18"/>
              </w:rPr>
              <w:t>计量单位：</w:t>
            </w:r>
          </w:p>
        </w:tc>
        <w:tc>
          <w:tcPr>
            <w:tcW w:w="1702" w:type="dxa"/>
            <w:tcBorders>
              <w:top w:val="nil"/>
              <w:left w:val="nil"/>
            </w:tcBorders>
            <w:tcMar>
              <w:left w:w="28" w:type="dxa"/>
              <w:right w:w="28" w:type="dxa"/>
            </w:tcMar>
            <w:vAlign w:val="center"/>
          </w:tcPr>
          <w:p>
            <w:pPr>
              <w:widowControl/>
              <w:adjustRightInd w:val="0"/>
              <w:snapToGrid w:val="0"/>
              <w:spacing w:line="240" w:lineRule="atLeast"/>
              <w:jc w:val="distribute"/>
              <w:rPr>
                <w:spacing w:val="-2"/>
                <w:kern w:val="0"/>
                <w:sz w:val="18"/>
                <w:szCs w:val="18"/>
              </w:rPr>
            </w:pPr>
            <w:r>
              <w:rPr>
                <w:spacing w:val="-2"/>
                <w:kern w:val="0"/>
                <w:sz w:val="18"/>
                <w:szCs w:val="18"/>
              </w:rPr>
              <w:t>吨</w:t>
            </w:r>
          </w:p>
        </w:tc>
      </w:tr>
    </w:tbl>
    <w:p>
      <w:pPr>
        <w:spacing w:line="20" w:lineRule="exact"/>
        <w:jc w:val="center"/>
        <w:rPr>
          <w:sz w:val="18"/>
          <w:szCs w:val="18"/>
        </w:rPr>
      </w:pPr>
    </w:p>
    <w:tbl>
      <w:tblPr>
        <w:tblStyle w:val="25"/>
        <w:tblW w:w="9624" w:type="dxa"/>
        <w:jc w:val="center"/>
        <w:tblInd w:w="0" w:type="dxa"/>
        <w:tblLayout w:type="fixed"/>
        <w:tblCellMar>
          <w:top w:w="0" w:type="dxa"/>
          <w:left w:w="108" w:type="dxa"/>
          <w:bottom w:w="0" w:type="dxa"/>
          <w:right w:w="108" w:type="dxa"/>
        </w:tblCellMar>
      </w:tblPr>
      <w:tblGrid>
        <w:gridCol w:w="1415"/>
        <w:gridCol w:w="426"/>
        <w:gridCol w:w="687"/>
        <w:gridCol w:w="504"/>
        <w:gridCol w:w="587"/>
        <w:gridCol w:w="504"/>
        <w:gridCol w:w="587"/>
        <w:gridCol w:w="504"/>
        <w:gridCol w:w="585"/>
        <w:gridCol w:w="516"/>
        <w:gridCol w:w="587"/>
        <w:gridCol w:w="664"/>
        <w:gridCol w:w="687"/>
        <w:gridCol w:w="672"/>
        <w:gridCol w:w="699"/>
      </w:tblGrid>
      <w:tr>
        <w:tblPrEx>
          <w:tblLayout w:type="fixed"/>
          <w:tblCellMar>
            <w:top w:w="0" w:type="dxa"/>
            <w:left w:w="108" w:type="dxa"/>
            <w:bottom w:w="0" w:type="dxa"/>
            <w:right w:w="108" w:type="dxa"/>
          </w:tblCellMar>
        </w:tblPrEx>
        <w:trPr>
          <w:trHeight w:val="785" w:hRule="atLeast"/>
          <w:jc w:val="center"/>
        </w:trPr>
        <w:tc>
          <w:tcPr>
            <w:tcW w:w="1415" w:type="dxa"/>
            <w:vMerge w:val="restart"/>
            <w:tcBorders>
              <w:top w:val="single" w:color="auto" w:sz="8" w:space="0"/>
              <w:left w:val="nil"/>
              <w:bottom w:val="single" w:color="auto" w:sz="2" w:space="0"/>
              <w:right w:val="single" w:color="auto" w:sz="2" w:space="0"/>
            </w:tcBorders>
            <w:vAlign w:val="center"/>
          </w:tcPr>
          <w:p>
            <w:pPr>
              <w:widowControl/>
              <w:jc w:val="center"/>
              <w:rPr>
                <w:kern w:val="0"/>
                <w:sz w:val="18"/>
                <w:szCs w:val="18"/>
              </w:rPr>
            </w:pPr>
            <w:r>
              <w:rPr>
                <w:kern w:val="0"/>
                <w:sz w:val="18"/>
                <w:szCs w:val="18"/>
              </w:rPr>
              <w:t>商品名称</w:t>
            </w:r>
          </w:p>
        </w:tc>
        <w:tc>
          <w:tcPr>
            <w:tcW w:w="426" w:type="dxa"/>
            <w:vMerge w:val="restart"/>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代码</w:t>
            </w:r>
          </w:p>
        </w:tc>
        <w:tc>
          <w:tcPr>
            <w:tcW w:w="687" w:type="dxa"/>
            <w:vMerge w:val="restart"/>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年初</w:t>
            </w:r>
          </w:p>
          <w:p>
            <w:pPr>
              <w:widowControl/>
              <w:jc w:val="center"/>
              <w:rPr>
                <w:kern w:val="0"/>
                <w:sz w:val="18"/>
                <w:szCs w:val="18"/>
              </w:rPr>
            </w:pPr>
            <w:r>
              <w:rPr>
                <w:kern w:val="0"/>
                <w:sz w:val="18"/>
                <w:szCs w:val="18"/>
              </w:rPr>
              <w:t>商品</w:t>
            </w:r>
          </w:p>
          <w:p>
            <w:pPr>
              <w:widowControl/>
              <w:jc w:val="center"/>
              <w:rPr>
                <w:kern w:val="0"/>
                <w:sz w:val="18"/>
                <w:szCs w:val="18"/>
              </w:rPr>
            </w:pPr>
            <w:r>
              <w:rPr>
                <w:kern w:val="0"/>
                <w:sz w:val="18"/>
                <w:szCs w:val="18"/>
              </w:rPr>
              <w:t>库存量</w:t>
            </w:r>
          </w:p>
        </w:tc>
        <w:tc>
          <w:tcPr>
            <w:tcW w:w="2182" w:type="dxa"/>
            <w:gridSpan w:val="4"/>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商品购进量</w:t>
            </w:r>
          </w:p>
        </w:tc>
        <w:tc>
          <w:tcPr>
            <w:tcW w:w="2192" w:type="dxa"/>
            <w:gridSpan w:val="4"/>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商品销售量</w:t>
            </w:r>
          </w:p>
        </w:tc>
        <w:tc>
          <w:tcPr>
            <w:tcW w:w="1351" w:type="dxa"/>
            <w:gridSpan w:val="2"/>
            <w:tcBorders>
              <w:top w:val="single" w:color="auto" w:sz="8" w:space="0"/>
              <w:left w:val="single" w:color="auto" w:sz="2" w:space="0"/>
              <w:bottom w:val="single" w:color="auto" w:sz="2" w:space="0"/>
              <w:right w:val="single" w:color="auto" w:sz="2" w:space="0"/>
            </w:tcBorders>
            <w:vAlign w:val="center"/>
          </w:tcPr>
          <w:p>
            <w:pPr>
              <w:widowControl/>
              <w:spacing w:line="240" w:lineRule="exact"/>
              <w:jc w:val="center"/>
              <w:rPr>
                <w:kern w:val="0"/>
                <w:sz w:val="18"/>
                <w:szCs w:val="18"/>
              </w:rPr>
            </w:pPr>
            <w:r>
              <w:rPr>
                <w:kern w:val="0"/>
                <w:sz w:val="18"/>
                <w:szCs w:val="18"/>
              </w:rPr>
              <w:t>损耗量</w:t>
            </w:r>
          </w:p>
          <w:p>
            <w:pPr>
              <w:widowControl/>
              <w:spacing w:line="240" w:lineRule="exact"/>
              <w:jc w:val="center"/>
              <w:rPr>
                <w:kern w:val="0"/>
                <w:sz w:val="18"/>
                <w:szCs w:val="18"/>
              </w:rPr>
            </w:pPr>
            <w:r>
              <w:rPr>
                <w:kern w:val="0"/>
                <w:sz w:val="18"/>
                <w:szCs w:val="18"/>
              </w:rPr>
              <w:t>及其他</w:t>
            </w:r>
          </w:p>
        </w:tc>
        <w:tc>
          <w:tcPr>
            <w:tcW w:w="1371" w:type="dxa"/>
            <w:gridSpan w:val="2"/>
            <w:tcBorders>
              <w:top w:val="single" w:color="auto" w:sz="8" w:space="0"/>
              <w:left w:val="single" w:color="auto" w:sz="2" w:space="0"/>
              <w:bottom w:val="single" w:color="auto" w:sz="2" w:space="0"/>
              <w:right w:val="nil"/>
            </w:tcBorders>
            <w:vAlign w:val="center"/>
          </w:tcPr>
          <w:p>
            <w:pPr>
              <w:jc w:val="center"/>
              <w:rPr>
                <w:kern w:val="0"/>
                <w:sz w:val="18"/>
                <w:szCs w:val="18"/>
              </w:rPr>
            </w:pPr>
            <w:r>
              <w:rPr>
                <w:kern w:val="0"/>
                <w:sz w:val="18"/>
                <w:szCs w:val="18"/>
              </w:rPr>
              <w:t>期末商品</w:t>
            </w:r>
          </w:p>
          <w:p>
            <w:pPr>
              <w:jc w:val="center"/>
              <w:rPr>
                <w:kern w:val="0"/>
                <w:sz w:val="18"/>
                <w:szCs w:val="18"/>
              </w:rPr>
            </w:pPr>
            <w:r>
              <w:rPr>
                <w:kern w:val="0"/>
                <w:sz w:val="18"/>
                <w:szCs w:val="18"/>
              </w:rPr>
              <w:t>库存量</w:t>
            </w:r>
          </w:p>
        </w:tc>
      </w:tr>
      <w:tr>
        <w:tblPrEx>
          <w:tblLayout w:type="fixed"/>
          <w:tblCellMar>
            <w:top w:w="0" w:type="dxa"/>
            <w:left w:w="108" w:type="dxa"/>
            <w:bottom w:w="0" w:type="dxa"/>
            <w:right w:w="108" w:type="dxa"/>
          </w:tblCellMar>
        </w:tblPrEx>
        <w:trPr>
          <w:trHeight w:val="300" w:hRule="atLeast"/>
          <w:jc w:val="center"/>
        </w:trPr>
        <w:tc>
          <w:tcPr>
            <w:tcW w:w="1415" w:type="dxa"/>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kern w:val="0"/>
                <w:sz w:val="18"/>
                <w:szCs w:val="18"/>
              </w:rPr>
            </w:pPr>
          </w:p>
        </w:tc>
        <w:tc>
          <w:tcPr>
            <w:tcW w:w="426"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687"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1091"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本年</w:t>
            </w:r>
          </w:p>
        </w:tc>
        <w:tc>
          <w:tcPr>
            <w:tcW w:w="1091" w:type="dxa"/>
            <w:gridSpan w:val="2"/>
            <w:tcBorders>
              <w:top w:val="single" w:color="auto" w:sz="2" w:space="0"/>
              <w:left w:val="single" w:color="auto" w:sz="2" w:space="0"/>
              <w:bottom w:val="single" w:color="auto" w:sz="2" w:space="0"/>
              <w:right w:val="single" w:color="auto" w:sz="2" w:space="0"/>
            </w:tcBorders>
            <w:shd w:val="clear" w:color="auto" w:fill="D0CECE"/>
            <w:vAlign w:val="center"/>
          </w:tcPr>
          <w:p>
            <w:pPr>
              <w:widowControl/>
              <w:jc w:val="center"/>
              <w:rPr>
                <w:rFonts w:ascii="宋体" w:hAnsi="宋体" w:cs="宋体"/>
                <w:kern w:val="0"/>
                <w:sz w:val="18"/>
                <w:szCs w:val="18"/>
              </w:rPr>
            </w:pPr>
            <w:r>
              <w:rPr>
                <w:rFonts w:hint="eastAsia" w:ascii="宋体" w:hAnsi="宋体" w:cs="宋体"/>
                <w:kern w:val="0"/>
                <w:sz w:val="18"/>
                <w:szCs w:val="18"/>
              </w:rPr>
              <w:t>上年同期</w:t>
            </w:r>
          </w:p>
        </w:tc>
        <w:tc>
          <w:tcPr>
            <w:tcW w:w="108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本年</w:t>
            </w:r>
          </w:p>
        </w:tc>
        <w:tc>
          <w:tcPr>
            <w:tcW w:w="1103" w:type="dxa"/>
            <w:gridSpan w:val="2"/>
            <w:tcBorders>
              <w:top w:val="single" w:color="auto" w:sz="2" w:space="0"/>
              <w:left w:val="single" w:color="auto" w:sz="2" w:space="0"/>
              <w:bottom w:val="single" w:color="auto" w:sz="2" w:space="0"/>
              <w:right w:val="single" w:color="auto" w:sz="2" w:space="0"/>
            </w:tcBorders>
            <w:shd w:val="clear" w:color="auto" w:fill="D0CECE"/>
            <w:vAlign w:val="center"/>
          </w:tcPr>
          <w:p>
            <w:pPr>
              <w:widowControl/>
              <w:jc w:val="center"/>
              <w:rPr>
                <w:rFonts w:ascii="宋体" w:hAnsi="宋体" w:cs="宋体"/>
                <w:kern w:val="0"/>
                <w:sz w:val="18"/>
                <w:szCs w:val="18"/>
              </w:rPr>
            </w:pPr>
            <w:r>
              <w:rPr>
                <w:rFonts w:hint="eastAsia" w:ascii="宋体" w:hAnsi="宋体" w:cs="宋体"/>
                <w:kern w:val="0"/>
                <w:sz w:val="18"/>
                <w:szCs w:val="18"/>
              </w:rPr>
              <w:t>上年同期</w:t>
            </w:r>
          </w:p>
        </w:tc>
        <w:tc>
          <w:tcPr>
            <w:tcW w:w="664"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spacing w:val="-20"/>
                <w:kern w:val="0"/>
                <w:sz w:val="18"/>
                <w:szCs w:val="18"/>
              </w:rPr>
            </w:pPr>
            <w:r>
              <w:rPr>
                <w:rFonts w:ascii="宋体" w:hAnsi="宋体" w:cs="宋体"/>
                <w:spacing w:val="-20"/>
                <w:kern w:val="0"/>
                <w:sz w:val="18"/>
                <w:szCs w:val="18"/>
              </w:rPr>
              <w:t>1</w:t>
            </w:r>
            <w:r>
              <w:rPr>
                <w:rFonts w:hint="eastAsia" w:ascii="宋体" w:hAnsi="宋体" w:cs="宋体"/>
                <w:kern w:val="0"/>
                <w:sz w:val="18"/>
                <w:szCs w:val="18"/>
              </w:rPr>
              <w:t>－</w:t>
            </w:r>
          </w:p>
          <w:p>
            <w:pPr>
              <w:widowControl/>
              <w:jc w:val="center"/>
              <w:rPr>
                <w:rFonts w:ascii="宋体" w:hAnsi="宋体" w:cs="宋体"/>
                <w:kern w:val="0"/>
                <w:sz w:val="18"/>
                <w:szCs w:val="18"/>
              </w:rPr>
            </w:pPr>
            <w:r>
              <w:rPr>
                <w:rFonts w:hint="eastAsia" w:ascii="宋体" w:hAnsi="宋体" w:cs="宋体"/>
                <w:spacing w:val="-20"/>
                <w:kern w:val="0"/>
                <w:sz w:val="18"/>
                <w:szCs w:val="18"/>
              </w:rPr>
              <w:t>本月</w:t>
            </w:r>
          </w:p>
        </w:tc>
        <w:tc>
          <w:tcPr>
            <w:tcW w:w="687" w:type="dxa"/>
            <w:vMerge w:val="restart"/>
            <w:tcBorders>
              <w:top w:val="single" w:color="auto" w:sz="2" w:space="0"/>
              <w:left w:val="single" w:color="auto" w:sz="2" w:space="0"/>
              <w:bottom w:val="single" w:color="auto" w:sz="2" w:space="0"/>
              <w:right w:val="single" w:color="auto" w:sz="2" w:space="0"/>
            </w:tcBorders>
            <w:shd w:val="clear" w:color="auto" w:fill="D0CECE"/>
            <w:vAlign w:val="center"/>
          </w:tcPr>
          <w:p>
            <w:pPr>
              <w:widowControl/>
              <w:jc w:val="center"/>
              <w:rPr>
                <w:rFonts w:ascii="宋体" w:hAnsi="宋体" w:cs="宋体"/>
                <w:spacing w:val="-8"/>
                <w:kern w:val="0"/>
                <w:sz w:val="18"/>
                <w:szCs w:val="18"/>
              </w:rPr>
            </w:pPr>
            <w:r>
              <w:rPr>
                <w:rFonts w:hint="eastAsia" w:ascii="宋体" w:hAnsi="宋体" w:cs="宋体"/>
                <w:spacing w:val="-8"/>
                <w:kern w:val="0"/>
                <w:sz w:val="18"/>
                <w:szCs w:val="18"/>
              </w:rPr>
              <w:t>上年同期</w:t>
            </w:r>
          </w:p>
        </w:tc>
        <w:tc>
          <w:tcPr>
            <w:tcW w:w="672"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spacing w:val="-8"/>
                <w:kern w:val="0"/>
                <w:sz w:val="18"/>
                <w:szCs w:val="18"/>
              </w:rPr>
            </w:pPr>
            <w:r>
              <w:rPr>
                <w:rFonts w:hint="eastAsia" w:ascii="宋体" w:hAnsi="宋体" w:cs="宋体"/>
                <w:spacing w:val="-8"/>
                <w:kern w:val="0"/>
                <w:sz w:val="18"/>
                <w:szCs w:val="18"/>
              </w:rPr>
              <w:t>本期</w:t>
            </w:r>
          </w:p>
        </w:tc>
        <w:tc>
          <w:tcPr>
            <w:tcW w:w="699" w:type="dxa"/>
            <w:vMerge w:val="restart"/>
            <w:tcBorders>
              <w:top w:val="single" w:color="auto" w:sz="2" w:space="0"/>
              <w:left w:val="single" w:color="auto" w:sz="2" w:space="0"/>
              <w:bottom w:val="single" w:color="auto" w:sz="2" w:space="0"/>
              <w:right w:val="nil"/>
            </w:tcBorders>
            <w:shd w:val="clear" w:color="auto" w:fill="D0CECE"/>
            <w:vAlign w:val="center"/>
          </w:tcPr>
          <w:p>
            <w:pPr>
              <w:widowControl/>
              <w:jc w:val="center"/>
              <w:rPr>
                <w:rFonts w:ascii="宋体" w:hAnsi="宋体" w:cs="宋体"/>
                <w:spacing w:val="-8"/>
                <w:kern w:val="0"/>
                <w:sz w:val="18"/>
                <w:szCs w:val="18"/>
              </w:rPr>
            </w:pPr>
            <w:r>
              <w:rPr>
                <w:rFonts w:hint="eastAsia" w:ascii="宋体" w:hAnsi="宋体" w:cs="宋体"/>
                <w:spacing w:val="-8"/>
                <w:kern w:val="0"/>
                <w:sz w:val="18"/>
                <w:szCs w:val="18"/>
              </w:rPr>
              <w:t>上年同期</w:t>
            </w:r>
          </w:p>
        </w:tc>
      </w:tr>
      <w:tr>
        <w:tblPrEx>
          <w:tblLayout w:type="fixed"/>
          <w:tblCellMar>
            <w:top w:w="0" w:type="dxa"/>
            <w:left w:w="108" w:type="dxa"/>
            <w:bottom w:w="0" w:type="dxa"/>
            <w:right w:w="108" w:type="dxa"/>
          </w:tblCellMar>
        </w:tblPrEx>
        <w:trPr>
          <w:trHeight w:val="285" w:hRule="atLeast"/>
          <w:jc w:val="center"/>
        </w:trPr>
        <w:tc>
          <w:tcPr>
            <w:tcW w:w="1415" w:type="dxa"/>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kern w:val="0"/>
                <w:sz w:val="18"/>
                <w:szCs w:val="18"/>
              </w:rPr>
            </w:pPr>
          </w:p>
        </w:tc>
        <w:tc>
          <w:tcPr>
            <w:tcW w:w="426"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687"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504"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spacing w:val="-20"/>
                <w:kern w:val="0"/>
                <w:sz w:val="18"/>
                <w:szCs w:val="18"/>
              </w:rPr>
            </w:pPr>
            <w:r>
              <w:rPr>
                <w:spacing w:val="-20"/>
                <w:kern w:val="0"/>
                <w:sz w:val="18"/>
                <w:szCs w:val="18"/>
              </w:rPr>
              <w:t>1</w:t>
            </w:r>
            <w:r>
              <w:rPr>
                <w:kern w:val="0"/>
                <w:sz w:val="18"/>
                <w:szCs w:val="18"/>
              </w:rPr>
              <w:t>－</w:t>
            </w:r>
          </w:p>
          <w:p>
            <w:pPr>
              <w:widowControl/>
              <w:jc w:val="center"/>
              <w:rPr>
                <w:spacing w:val="-20"/>
                <w:kern w:val="0"/>
                <w:sz w:val="18"/>
                <w:szCs w:val="18"/>
              </w:rPr>
            </w:pPr>
            <w:r>
              <w:rPr>
                <w:spacing w:val="-20"/>
                <w:kern w:val="0"/>
                <w:sz w:val="18"/>
                <w:szCs w:val="18"/>
              </w:rPr>
              <w:t>本月</w:t>
            </w:r>
          </w:p>
        </w:tc>
        <w:tc>
          <w:tcPr>
            <w:tcW w:w="587"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rPr>
                <w:kern w:val="0"/>
                <w:sz w:val="18"/>
                <w:szCs w:val="18"/>
              </w:rPr>
            </w:pPr>
            <w:r>
              <w:rPr>
                <w:spacing w:val="-20"/>
                <w:kern w:val="0"/>
                <w:sz w:val="18"/>
                <w:szCs w:val="18"/>
              </w:rPr>
              <w:t>其中：</w:t>
            </w:r>
            <w:r>
              <w:rPr>
                <w:kern w:val="0"/>
                <w:sz w:val="18"/>
                <w:szCs w:val="18"/>
              </w:rPr>
              <w:t>购自省外</w:t>
            </w:r>
          </w:p>
        </w:tc>
        <w:tc>
          <w:tcPr>
            <w:tcW w:w="504" w:type="dxa"/>
            <w:vMerge w:val="restart"/>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center"/>
              <w:rPr>
                <w:rFonts w:ascii="宋体" w:hAnsi="宋体" w:cs="宋体"/>
                <w:spacing w:val="-20"/>
                <w:kern w:val="0"/>
                <w:sz w:val="18"/>
                <w:szCs w:val="18"/>
              </w:rPr>
            </w:pPr>
            <w:r>
              <w:rPr>
                <w:rFonts w:ascii="宋体" w:hAnsi="宋体" w:cs="宋体"/>
                <w:spacing w:val="-20"/>
                <w:kern w:val="0"/>
                <w:sz w:val="18"/>
                <w:szCs w:val="18"/>
              </w:rPr>
              <w:t>1</w:t>
            </w:r>
            <w:r>
              <w:rPr>
                <w:rFonts w:hint="eastAsia" w:ascii="宋体" w:hAnsi="宋体" w:cs="宋体"/>
                <w:kern w:val="0"/>
                <w:sz w:val="18"/>
                <w:szCs w:val="18"/>
              </w:rPr>
              <w:t>－</w:t>
            </w:r>
          </w:p>
          <w:p>
            <w:pPr>
              <w:widowControl/>
              <w:jc w:val="center"/>
              <w:rPr>
                <w:rFonts w:ascii="宋体" w:hAnsi="宋体" w:cs="宋体"/>
                <w:kern w:val="0"/>
                <w:sz w:val="18"/>
                <w:szCs w:val="18"/>
              </w:rPr>
            </w:pPr>
            <w:r>
              <w:rPr>
                <w:rFonts w:hint="eastAsia" w:ascii="宋体" w:hAnsi="宋体" w:cs="宋体"/>
                <w:spacing w:val="-20"/>
                <w:kern w:val="0"/>
                <w:sz w:val="18"/>
                <w:szCs w:val="18"/>
              </w:rPr>
              <w:t>本月</w:t>
            </w:r>
          </w:p>
        </w:tc>
        <w:tc>
          <w:tcPr>
            <w:tcW w:w="587" w:type="dxa"/>
            <w:vMerge w:val="restart"/>
            <w:tcBorders>
              <w:top w:val="single" w:color="auto" w:sz="2" w:space="0"/>
              <w:left w:val="single" w:color="auto" w:sz="2" w:space="0"/>
              <w:bottom w:val="single" w:color="auto" w:sz="2" w:space="0"/>
              <w:right w:val="single" w:color="auto" w:sz="2" w:space="0"/>
            </w:tcBorders>
            <w:shd w:val="clear" w:color="auto" w:fill="D9D9D9"/>
            <w:vAlign w:val="center"/>
          </w:tcPr>
          <w:p>
            <w:pPr>
              <w:widowControl/>
              <w:rPr>
                <w:rFonts w:ascii="宋体" w:hAnsi="宋体" w:cs="宋体"/>
                <w:kern w:val="0"/>
                <w:sz w:val="18"/>
                <w:szCs w:val="18"/>
              </w:rPr>
            </w:pPr>
            <w:r>
              <w:rPr>
                <w:rFonts w:hint="eastAsia" w:ascii="宋体" w:hAnsi="宋体" w:cs="宋体"/>
                <w:spacing w:val="-20"/>
                <w:kern w:val="0"/>
                <w:sz w:val="18"/>
                <w:szCs w:val="18"/>
              </w:rPr>
              <w:t>其中：</w:t>
            </w:r>
            <w:r>
              <w:rPr>
                <w:rFonts w:hint="eastAsia" w:ascii="宋体" w:hAnsi="宋体" w:cs="宋体"/>
                <w:kern w:val="0"/>
                <w:sz w:val="18"/>
                <w:szCs w:val="18"/>
              </w:rPr>
              <w:t>购自省外</w:t>
            </w:r>
          </w:p>
        </w:tc>
        <w:tc>
          <w:tcPr>
            <w:tcW w:w="504"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spacing w:val="-20"/>
                <w:kern w:val="0"/>
                <w:sz w:val="18"/>
                <w:szCs w:val="18"/>
              </w:rPr>
            </w:pPr>
            <w:r>
              <w:rPr>
                <w:rFonts w:ascii="宋体" w:hAnsi="宋体" w:cs="宋体"/>
                <w:spacing w:val="-20"/>
                <w:kern w:val="0"/>
                <w:sz w:val="18"/>
                <w:szCs w:val="18"/>
              </w:rPr>
              <w:t>1</w:t>
            </w:r>
            <w:r>
              <w:rPr>
                <w:rFonts w:hint="eastAsia" w:ascii="宋体" w:hAnsi="宋体" w:cs="宋体"/>
                <w:kern w:val="0"/>
                <w:sz w:val="18"/>
                <w:szCs w:val="18"/>
              </w:rPr>
              <w:t>－</w:t>
            </w:r>
          </w:p>
          <w:p>
            <w:pPr>
              <w:widowControl/>
              <w:jc w:val="center"/>
              <w:rPr>
                <w:rFonts w:ascii="宋体" w:hAnsi="宋体" w:cs="宋体"/>
                <w:kern w:val="0"/>
                <w:sz w:val="18"/>
                <w:szCs w:val="18"/>
              </w:rPr>
            </w:pPr>
            <w:r>
              <w:rPr>
                <w:rFonts w:hint="eastAsia" w:ascii="宋体" w:hAnsi="宋体" w:cs="宋体"/>
                <w:spacing w:val="-20"/>
                <w:kern w:val="0"/>
                <w:sz w:val="18"/>
                <w:szCs w:val="18"/>
              </w:rPr>
              <w:t>本月</w:t>
            </w:r>
          </w:p>
        </w:tc>
        <w:tc>
          <w:tcPr>
            <w:tcW w:w="585"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spacing w:val="-20"/>
                <w:kern w:val="0"/>
                <w:sz w:val="18"/>
                <w:szCs w:val="18"/>
              </w:rPr>
              <w:t>其中：</w:t>
            </w:r>
            <w:r>
              <w:rPr>
                <w:rFonts w:hint="eastAsia" w:ascii="宋体" w:hAnsi="宋体" w:cs="宋体"/>
                <w:kern w:val="0"/>
                <w:sz w:val="18"/>
                <w:szCs w:val="18"/>
              </w:rPr>
              <w:t>销往省外</w:t>
            </w:r>
          </w:p>
        </w:tc>
        <w:tc>
          <w:tcPr>
            <w:tcW w:w="516" w:type="dxa"/>
            <w:vMerge w:val="restart"/>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center"/>
              <w:rPr>
                <w:rFonts w:ascii="宋体" w:hAnsi="宋体" w:cs="宋体"/>
                <w:spacing w:val="-20"/>
                <w:kern w:val="0"/>
                <w:sz w:val="18"/>
                <w:szCs w:val="18"/>
              </w:rPr>
            </w:pPr>
            <w:r>
              <w:rPr>
                <w:rFonts w:ascii="宋体" w:hAnsi="宋体" w:cs="宋体"/>
                <w:spacing w:val="-20"/>
                <w:kern w:val="0"/>
                <w:sz w:val="18"/>
                <w:szCs w:val="18"/>
              </w:rPr>
              <w:t>1</w:t>
            </w:r>
            <w:r>
              <w:rPr>
                <w:rFonts w:hint="eastAsia" w:ascii="宋体" w:hAnsi="宋体" w:cs="宋体"/>
                <w:kern w:val="0"/>
                <w:sz w:val="18"/>
                <w:szCs w:val="18"/>
              </w:rPr>
              <w:t>－</w:t>
            </w:r>
          </w:p>
          <w:p>
            <w:pPr>
              <w:widowControl/>
              <w:jc w:val="center"/>
              <w:rPr>
                <w:rFonts w:ascii="宋体" w:hAnsi="宋体" w:cs="宋体"/>
                <w:kern w:val="0"/>
                <w:sz w:val="18"/>
                <w:szCs w:val="18"/>
              </w:rPr>
            </w:pPr>
            <w:r>
              <w:rPr>
                <w:rFonts w:hint="eastAsia" w:ascii="宋体" w:hAnsi="宋体" w:cs="宋体"/>
                <w:spacing w:val="-20"/>
                <w:kern w:val="0"/>
                <w:sz w:val="18"/>
                <w:szCs w:val="18"/>
              </w:rPr>
              <w:t>本月</w:t>
            </w:r>
          </w:p>
        </w:tc>
        <w:tc>
          <w:tcPr>
            <w:tcW w:w="587" w:type="dxa"/>
            <w:vMerge w:val="restart"/>
            <w:tcBorders>
              <w:top w:val="single" w:color="auto" w:sz="2" w:space="0"/>
              <w:left w:val="single" w:color="auto" w:sz="2" w:space="0"/>
              <w:bottom w:val="single" w:color="auto" w:sz="2" w:space="0"/>
              <w:right w:val="single" w:color="auto" w:sz="2" w:space="0"/>
            </w:tcBorders>
            <w:shd w:val="clear" w:color="auto" w:fill="D9D9D9"/>
            <w:vAlign w:val="center"/>
          </w:tcPr>
          <w:p>
            <w:pPr>
              <w:widowControl/>
              <w:rPr>
                <w:rFonts w:ascii="宋体" w:hAnsi="宋体" w:cs="宋体"/>
                <w:kern w:val="0"/>
                <w:sz w:val="18"/>
                <w:szCs w:val="18"/>
              </w:rPr>
            </w:pPr>
            <w:r>
              <w:rPr>
                <w:rFonts w:hint="eastAsia" w:ascii="宋体" w:hAnsi="宋体" w:cs="宋体"/>
                <w:spacing w:val="-20"/>
                <w:kern w:val="0"/>
                <w:sz w:val="18"/>
                <w:szCs w:val="18"/>
              </w:rPr>
              <w:t>其中：</w:t>
            </w:r>
            <w:r>
              <w:rPr>
                <w:rFonts w:hint="eastAsia" w:ascii="宋体" w:hAnsi="宋体" w:cs="宋体"/>
                <w:kern w:val="0"/>
                <w:sz w:val="18"/>
                <w:szCs w:val="18"/>
              </w:rPr>
              <w:t>销往省外</w:t>
            </w:r>
          </w:p>
        </w:tc>
        <w:tc>
          <w:tcPr>
            <w:tcW w:w="664"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cs="宋体"/>
                <w:kern w:val="0"/>
                <w:sz w:val="18"/>
                <w:szCs w:val="18"/>
              </w:rPr>
            </w:pPr>
          </w:p>
        </w:tc>
        <w:tc>
          <w:tcPr>
            <w:tcW w:w="687"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cs="宋体"/>
                <w:kern w:val="0"/>
                <w:sz w:val="18"/>
                <w:szCs w:val="18"/>
              </w:rPr>
            </w:pPr>
          </w:p>
        </w:tc>
        <w:tc>
          <w:tcPr>
            <w:tcW w:w="672"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cs="宋体"/>
                <w:kern w:val="0"/>
                <w:sz w:val="18"/>
                <w:szCs w:val="18"/>
              </w:rPr>
            </w:pPr>
          </w:p>
        </w:tc>
        <w:tc>
          <w:tcPr>
            <w:tcW w:w="699" w:type="dxa"/>
            <w:vMerge w:val="continue"/>
            <w:tcBorders>
              <w:top w:val="single" w:color="auto" w:sz="2" w:space="0"/>
              <w:left w:val="single" w:color="auto" w:sz="2" w:space="0"/>
              <w:bottom w:val="single" w:color="auto" w:sz="2" w:space="0"/>
              <w:right w:val="nil"/>
            </w:tcBorders>
            <w:shd w:val="clear" w:color="auto" w:fill="D0CECE"/>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00" w:hRule="atLeast"/>
          <w:jc w:val="center"/>
        </w:trPr>
        <w:tc>
          <w:tcPr>
            <w:tcW w:w="1415" w:type="dxa"/>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kern w:val="0"/>
                <w:sz w:val="18"/>
                <w:szCs w:val="18"/>
              </w:rPr>
            </w:pPr>
          </w:p>
        </w:tc>
        <w:tc>
          <w:tcPr>
            <w:tcW w:w="426"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687"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504"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587"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504" w:type="dxa"/>
            <w:vMerge w:val="continue"/>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left"/>
              <w:rPr>
                <w:kern w:val="0"/>
                <w:sz w:val="18"/>
                <w:szCs w:val="18"/>
              </w:rPr>
            </w:pPr>
          </w:p>
        </w:tc>
        <w:tc>
          <w:tcPr>
            <w:tcW w:w="587" w:type="dxa"/>
            <w:vMerge w:val="continue"/>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left"/>
              <w:rPr>
                <w:kern w:val="0"/>
                <w:sz w:val="18"/>
                <w:szCs w:val="18"/>
              </w:rPr>
            </w:pPr>
          </w:p>
        </w:tc>
        <w:tc>
          <w:tcPr>
            <w:tcW w:w="504"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585"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516" w:type="dxa"/>
            <w:vMerge w:val="continue"/>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left"/>
              <w:rPr>
                <w:kern w:val="0"/>
                <w:sz w:val="18"/>
                <w:szCs w:val="18"/>
              </w:rPr>
            </w:pPr>
          </w:p>
        </w:tc>
        <w:tc>
          <w:tcPr>
            <w:tcW w:w="587" w:type="dxa"/>
            <w:vMerge w:val="continue"/>
            <w:tcBorders>
              <w:top w:val="single" w:color="auto" w:sz="2" w:space="0"/>
              <w:left w:val="single" w:color="auto" w:sz="2" w:space="0"/>
              <w:bottom w:val="single" w:color="auto" w:sz="2" w:space="0"/>
              <w:right w:val="single" w:color="auto" w:sz="2" w:space="0"/>
            </w:tcBorders>
            <w:shd w:val="clear" w:color="auto" w:fill="D9D9D9"/>
            <w:vAlign w:val="center"/>
          </w:tcPr>
          <w:p>
            <w:pPr>
              <w:widowControl/>
              <w:jc w:val="left"/>
              <w:rPr>
                <w:kern w:val="0"/>
                <w:sz w:val="18"/>
                <w:szCs w:val="18"/>
              </w:rPr>
            </w:pPr>
          </w:p>
        </w:tc>
        <w:tc>
          <w:tcPr>
            <w:tcW w:w="664"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687"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672"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kern w:val="0"/>
                <w:sz w:val="18"/>
                <w:szCs w:val="18"/>
              </w:rPr>
            </w:pPr>
          </w:p>
        </w:tc>
        <w:tc>
          <w:tcPr>
            <w:tcW w:w="699" w:type="dxa"/>
            <w:vMerge w:val="continue"/>
            <w:tcBorders>
              <w:top w:val="single" w:color="auto" w:sz="2" w:space="0"/>
              <w:left w:val="single" w:color="auto" w:sz="2" w:space="0"/>
              <w:bottom w:val="single" w:color="auto" w:sz="2" w:space="0"/>
              <w:right w:val="nil"/>
            </w:tcBorders>
            <w:shd w:val="clear" w:color="auto" w:fill="D0CECE"/>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300" w:hRule="atLeast"/>
          <w:jc w:val="center"/>
        </w:trPr>
        <w:tc>
          <w:tcPr>
            <w:tcW w:w="1415" w:type="dxa"/>
            <w:tcBorders>
              <w:top w:val="single" w:color="auto" w:sz="2" w:space="0"/>
              <w:left w:val="nil"/>
              <w:bottom w:val="single" w:color="auto" w:sz="2" w:space="0"/>
              <w:right w:val="single" w:color="auto" w:sz="2" w:space="0"/>
            </w:tcBorders>
            <w:vAlign w:val="center"/>
          </w:tcPr>
          <w:p>
            <w:pPr>
              <w:widowControl/>
              <w:spacing w:line="240" w:lineRule="exact"/>
              <w:jc w:val="center"/>
              <w:textAlignment w:val="center"/>
              <w:rPr>
                <w:kern w:val="0"/>
                <w:sz w:val="18"/>
                <w:szCs w:val="18"/>
              </w:rPr>
            </w:pPr>
            <w:r>
              <w:rPr>
                <w:kern w:val="0"/>
                <w:sz w:val="18"/>
                <w:szCs w:val="18"/>
              </w:rPr>
              <w:t>甲</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kern w:val="0"/>
                <w:sz w:val="18"/>
                <w:szCs w:val="18"/>
              </w:rPr>
            </w:pPr>
            <w:r>
              <w:rPr>
                <w:kern w:val="0"/>
                <w:sz w:val="18"/>
                <w:szCs w:val="18"/>
              </w:rPr>
              <w:t>乙</w:t>
            </w:r>
          </w:p>
        </w:tc>
        <w:tc>
          <w:tcPr>
            <w:tcW w:w="687"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w:t>
            </w:r>
          </w:p>
        </w:tc>
        <w:tc>
          <w:tcPr>
            <w:tcW w:w="50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2</w:t>
            </w:r>
          </w:p>
        </w:tc>
        <w:tc>
          <w:tcPr>
            <w:tcW w:w="587"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3</w:t>
            </w:r>
          </w:p>
        </w:tc>
        <w:tc>
          <w:tcPr>
            <w:tcW w:w="50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4</w:t>
            </w:r>
          </w:p>
        </w:tc>
        <w:tc>
          <w:tcPr>
            <w:tcW w:w="587"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5</w:t>
            </w:r>
          </w:p>
        </w:tc>
        <w:tc>
          <w:tcPr>
            <w:tcW w:w="50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6</w:t>
            </w:r>
          </w:p>
        </w:tc>
        <w:tc>
          <w:tcPr>
            <w:tcW w:w="585"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7</w:t>
            </w:r>
          </w:p>
        </w:tc>
        <w:tc>
          <w:tcPr>
            <w:tcW w:w="516"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8</w:t>
            </w:r>
          </w:p>
        </w:tc>
        <w:tc>
          <w:tcPr>
            <w:tcW w:w="587"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9</w:t>
            </w:r>
          </w:p>
        </w:tc>
        <w:tc>
          <w:tcPr>
            <w:tcW w:w="66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10</w:t>
            </w:r>
          </w:p>
        </w:tc>
        <w:tc>
          <w:tcPr>
            <w:tcW w:w="687"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11</w:t>
            </w:r>
          </w:p>
        </w:tc>
        <w:tc>
          <w:tcPr>
            <w:tcW w:w="672"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12</w:t>
            </w:r>
          </w:p>
        </w:tc>
        <w:tc>
          <w:tcPr>
            <w:tcW w:w="699" w:type="dxa"/>
            <w:tcBorders>
              <w:top w:val="single" w:color="auto" w:sz="2" w:space="0"/>
              <w:left w:val="single" w:color="auto" w:sz="2" w:space="0"/>
              <w:bottom w:val="single" w:color="auto" w:sz="2" w:space="0"/>
              <w:right w:val="nil"/>
            </w:tcBorders>
            <w:vAlign w:val="center"/>
          </w:tcPr>
          <w:p>
            <w:pPr>
              <w:widowControl/>
              <w:spacing w:line="240" w:lineRule="exact"/>
              <w:jc w:val="center"/>
              <w:textAlignment w:val="center"/>
              <w:rPr>
                <w:rFonts w:ascii="宋体" w:hAnsi="宋体" w:cs="宋体"/>
                <w:kern w:val="0"/>
                <w:sz w:val="18"/>
                <w:szCs w:val="18"/>
              </w:rPr>
            </w:pPr>
            <w:r>
              <w:rPr>
                <w:rFonts w:ascii="宋体" w:hAnsi="宋体" w:cs="宋体"/>
                <w:kern w:val="0"/>
                <w:sz w:val="18"/>
                <w:szCs w:val="18"/>
              </w:rPr>
              <w:t>13</w:t>
            </w:r>
          </w:p>
        </w:tc>
      </w:tr>
      <w:tr>
        <w:tblPrEx>
          <w:tblLayout w:type="fixed"/>
          <w:tblCellMar>
            <w:top w:w="0" w:type="dxa"/>
            <w:left w:w="108" w:type="dxa"/>
            <w:bottom w:w="0" w:type="dxa"/>
            <w:right w:w="108" w:type="dxa"/>
          </w:tblCellMar>
        </w:tblPrEx>
        <w:trPr>
          <w:trHeight w:val="285" w:hRule="atLeast"/>
          <w:jc w:val="center"/>
        </w:trPr>
        <w:tc>
          <w:tcPr>
            <w:tcW w:w="1415" w:type="dxa"/>
            <w:tcBorders>
              <w:top w:val="single" w:color="auto" w:sz="2" w:space="0"/>
              <w:left w:val="nil"/>
              <w:bottom w:val="nil"/>
              <w:right w:val="single" w:color="auto" w:sz="2" w:space="0"/>
            </w:tcBorders>
            <w:vAlign w:val="center"/>
          </w:tcPr>
          <w:p>
            <w:pPr>
              <w:widowControl/>
              <w:rPr>
                <w:kern w:val="0"/>
                <w:sz w:val="18"/>
                <w:szCs w:val="18"/>
              </w:rPr>
            </w:pPr>
            <w:r>
              <w:rPr>
                <w:kern w:val="0"/>
                <w:sz w:val="18"/>
                <w:szCs w:val="18"/>
              </w:rPr>
              <w:t>原煤　</w:t>
            </w:r>
          </w:p>
        </w:tc>
        <w:tc>
          <w:tcPr>
            <w:tcW w:w="426" w:type="dxa"/>
            <w:tcBorders>
              <w:top w:val="single" w:color="auto" w:sz="2" w:space="0"/>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01</w:t>
            </w:r>
          </w:p>
        </w:tc>
        <w:tc>
          <w:tcPr>
            <w:tcW w:w="7783" w:type="dxa"/>
            <w:gridSpan w:val="13"/>
            <w:vMerge w:val="restart"/>
            <w:tcBorders>
              <w:top w:val="single" w:color="auto" w:sz="2" w:space="0"/>
              <w:left w:val="single" w:color="auto" w:sz="2" w:space="0"/>
              <w:bottom w:val="single" w:color="auto" w:sz="4" w:space="0"/>
              <w:right w:val="nil"/>
            </w:tcBorders>
            <w:vAlign w:val="center"/>
          </w:tcPr>
          <w:p>
            <w:pPr>
              <w:widowControl/>
              <w:jc w:val="lef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354" w:hRule="atLeast"/>
          <w:jc w:val="center"/>
        </w:trPr>
        <w:tc>
          <w:tcPr>
            <w:tcW w:w="1415" w:type="dxa"/>
            <w:tcBorders>
              <w:top w:val="nil"/>
              <w:left w:val="nil"/>
              <w:bottom w:val="nil"/>
              <w:right w:val="single" w:color="auto" w:sz="2" w:space="0"/>
            </w:tcBorders>
            <w:vAlign w:val="center"/>
          </w:tcPr>
          <w:p>
            <w:pPr>
              <w:widowControl/>
              <w:rPr>
                <w:spacing w:val="-14"/>
                <w:w w:val="90"/>
                <w:kern w:val="0"/>
                <w:sz w:val="18"/>
                <w:szCs w:val="18"/>
              </w:rPr>
            </w:pPr>
            <w:r>
              <w:rPr>
                <w:spacing w:val="-14"/>
                <w:w w:val="90"/>
                <w:kern w:val="0"/>
                <w:sz w:val="18"/>
                <w:szCs w:val="18"/>
              </w:rPr>
              <w:t>洗精煤（用于炼焦）</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02</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其他洗煤</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03</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煤制品</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04</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jc w:val="left"/>
              <w:rPr>
                <w:kern w:val="0"/>
                <w:sz w:val="18"/>
                <w:szCs w:val="18"/>
              </w:rPr>
            </w:pPr>
            <w:r>
              <w:rPr>
                <w:kern w:val="0"/>
                <w:sz w:val="18"/>
                <w:szCs w:val="18"/>
              </w:rPr>
              <w:t>焦炭</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05</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液化天然气</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06</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原油</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07</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汽油</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08</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煤油</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09</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柴油</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燃料油</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11</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液化石油气</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12</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石脑油</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13</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润滑油</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14</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溶剂油</w:t>
            </w:r>
          </w:p>
        </w:tc>
        <w:tc>
          <w:tcPr>
            <w:tcW w:w="426" w:type="dxa"/>
            <w:tcBorders>
              <w:top w:val="nil"/>
              <w:left w:val="single" w:color="auto" w:sz="2" w:space="0"/>
              <w:bottom w:val="nil"/>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15</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415" w:type="dxa"/>
            <w:tcBorders>
              <w:top w:val="nil"/>
              <w:left w:val="nil"/>
              <w:bottom w:val="nil"/>
              <w:right w:val="single" w:color="auto" w:sz="2" w:space="0"/>
            </w:tcBorders>
            <w:vAlign w:val="center"/>
          </w:tcPr>
          <w:p>
            <w:pPr>
              <w:widowControl/>
              <w:rPr>
                <w:kern w:val="0"/>
                <w:sz w:val="18"/>
                <w:szCs w:val="18"/>
              </w:rPr>
            </w:pPr>
            <w:r>
              <w:rPr>
                <w:kern w:val="0"/>
                <w:sz w:val="18"/>
                <w:szCs w:val="18"/>
              </w:rPr>
              <w:t>石油焦</w:t>
            </w:r>
          </w:p>
        </w:tc>
        <w:tc>
          <w:tcPr>
            <w:tcW w:w="426"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16</w:t>
            </w:r>
          </w:p>
        </w:tc>
        <w:tc>
          <w:tcPr>
            <w:tcW w:w="7783" w:type="dxa"/>
            <w:gridSpan w:val="13"/>
            <w:vMerge w:val="continue"/>
            <w:tcBorders>
              <w:top w:val="nil"/>
              <w:left w:val="single" w:color="auto" w:sz="2" w:space="0"/>
              <w:bottom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300" w:hRule="atLeast"/>
          <w:jc w:val="center"/>
        </w:trPr>
        <w:tc>
          <w:tcPr>
            <w:tcW w:w="1415" w:type="dxa"/>
            <w:tcBorders>
              <w:top w:val="nil"/>
              <w:left w:val="nil"/>
              <w:bottom w:val="single" w:color="auto" w:sz="8" w:space="0"/>
              <w:right w:val="single" w:color="auto" w:sz="2" w:space="0"/>
            </w:tcBorders>
            <w:vAlign w:val="center"/>
          </w:tcPr>
          <w:p>
            <w:pPr>
              <w:widowControl/>
              <w:rPr>
                <w:kern w:val="0"/>
                <w:sz w:val="18"/>
                <w:szCs w:val="18"/>
              </w:rPr>
            </w:pPr>
            <w:r>
              <w:rPr>
                <w:kern w:val="0"/>
                <w:sz w:val="18"/>
                <w:szCs w:val="18"/>
              </w:rPr>
              <w:t>石油沥青</w:t>
            </w:r>
          </w:p>
        </w:tc>
        <w:tc>
          <w:tcPr>
            <w:tcW w:w="426" w:type="dxa"/>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17</w:t>
            </w:r>
          </w:p>
        </w:tc>
        <w:tc>
          <w:tcPr>
            <w:tcW w:w="7783" w:type="dxa"/>
            <w:gridSpan w:val="13"/>
            <w:vMerge w:val="continue"/>
            <w:tcBorders>
              <w:top w:val="nil"/>
              <w:left w:val="single" w:color="auto" w:sz="2" w:space="0"/>
              <w:bottom w:val="single" w:color="auto" w:sz="8" w:space="0"/>
            </w:tcBorders>
            <w:vAlign w:val="center"/>
          </w:tcPr>
          <w:p>
            <w:pPr>
              <w:widowControl/>
              <w:jc w:val="left"/>
              <w:rPr>
                <w:kern w:val="0"/>
                <w:sz w:val="18"/>
                <w:szCs w:val="18"/>
              </w:rPr>
            </w:pPr>
          </w:p>
        </w:tc>
      </w:tr>
    </w:tbl>
    <w:p>
      <w:pPr>
        <w:tabs>
          <w:tab w:val="left" w:pos="5430"/>
        </w:tabs>
        <w:adjustRightInd w:val="0"/>
        <w:ind w:left="839" w:right="-38" w:rightChars="-18" w:hanging="838" w:hangingChars="466"/>
        <w:rPr>
          <w:sz w:val="18"/>
          <w:szCs w:val="18"/>
        </w:rPr>
      </w:pPr>
      <w:r>
        <w:rPr>
          <w:sz w:val="18"/>
          <w:szCs w:val="18"/>
        </w:rPr>
        <w:t>单位负责人：　　    　统计负责人：　       　填表人：　　　  联系电话：       　报出日期：２０  年　月  日</w:t>
      </w:r>
    </w:p>
    <w:p>
      <w:pPr>
        <w:spacing w:line="260" w:lineRule="exact"/>
        <w:rPr>
          <w:sz w:val="18"/>
          <w:szCs w:val="18"/>
        </w:rPr>
      </w:pPr>
    </w:p>
    <w:p>
      <w:pPr>
        <w:adjustRightInd w:val="0"/>
        <w:snapToGrid w:val="0"/>
        <w:spacing w:line="260" w:lineRule="atLeast"/>
        <w:ind w:left="1744" w:hanging="1744" w:hangingChars="969"/>
        <w:rPr>
          <w:rFonts w:ascii="宋体" w:hAnsi="宋体" w:cs="宋体"/>
          <w:sz w:val="18"/>
          <w:szCs w:val="18"/>
        </w:rPr>
      </w:pPr>
      <w:r>
        <w:rPr>
          <w:rFonts w:hint="eastAsia" w:ascii="宋体" w:hAnsi="宋体" w:cs="宋体"/>
          <w:sz w:val="18"/>
          <w:szCs w:val="18"/>
        </w:rPr>
        <w:t>说明：1.统计范围：辖区内有资质的建筑业、限额以上批发和零售业、限额以上住宿和餐饮业、有开发经营活动的全部</w:t>
      </w:r>
    </w:p>
    <w:p>
      <w:pPr>
        <w:adjustRightInd w:val="0"/>
        <w:snapToGrid w:val="0"/>
        <w:spacing w:line="260" w:lineRule="atLeast"/>
        <w:ind w:left="1710" w:hanging="1710" w:hangingChars="950"/>
        <w:rPr>
          <w:rFonts w:ascii="宋体" w:hAnsi="宋体" w:cs="宋体"/>
          <w:sz w:val="18"/>
          <w:szCs w:val="18"/>
        </w:rPr>
      </w:pPr>
      <w:r>
        <w:rPr>
          <w:rFonts w:hint="eastAsia" w:ascii="宋体" w:hAnsi="宋体" w:cs="宋体"/>
          <w:sz w:val="18"/>
          <w:szCs w:val="18"/>
        </w:rPr>
        <w:t xml:space="preserve">                  房地产开发经营业和规模以上服务业等重点法人单位。</w:t>
      </w:r>
    </w:p>
    <w:p>
      <w:pPr>
        <w:adjustRightInd w:val="0"/>
        <w:snapToGrid w:val="0"/>
        <w:spacing w:line="260" w:lineRule="atLeast"/>
        <w:ind w:left="2180" w:leftChars="258" w:hanging="1638" w:hangingChars="910"/>
        <w:rPr>
          <w:rFonts w:ascii="宋体" w:hAnsi="宋体" w:cs="宋体"/>
          <w:sz w:val="18"/>
          <w:szCs w:val="18"/>
        </w:rPr>
      </w:pPr>
      <w:r>
        <w:rPr>
          <w:rFonts w:hint="eastAsia" w:ascii="宋体" w:hAnsi="宋体" w:cs="宋体"/>
          <w:sz w:val="18"/>
          <w:szCs w:val="18"/>
        </w:rPr>
        <w:t>2.报送日期及方式：</w:t>
      </w:r>
      <w:r>
        <w:rPr>
          <w:rFonts w:hint="eastAsia" w:ascii="宋体" w:hAnsi="宋体" w:cs="宋体"/>
          <w:sz w:val="18"/>
        </w:rPr>
        <w:t>调查单位</w:t>
      </w:r>
      <w:r>
        <w:rPr>
          <w:rFonts w:hint="eastAsia" w:ascii="宋体" w:hAnsi="宋体"/>
          <w:sz w:val="18"/>
          <w:szCs w:val="18"/>
        </w:rPr>
        <w:t>2、10月月后5日，3、4月月后8日，5、6、8、11、12月月后7日，7月月后6日，9月月后9日12:00前</w:t>
      </w:r>
      <w:r>
        <w:rPr>
          <w:rFonts w:hint="eastAsia" w:ascii="宋体" w:hAnsi="宋体" w:cs="宋体"/>
          <w:sz w:val="18"/>
        </w:rPr>
        <w:t>独立自行网上填报，1月免报；市级统计机构</w:t>
      </w:r>
      <w:r>
        <w:rPr>
          <w:rFonts w:hint="eastAsia" w:ascii="宋体" w:hAnsi="宋体"/>
          <w:sz w:val="18"/>
          <w:szCs w:val="18"/>
        </w:rPr>
        <w:t>2、5、6、7、8、10、11月月后9日，3、4、12月月后10日，9月月后12日12:00</w:t>
      </w:r>
      <w:r>
        <w:rPr>
          <w:rFonts w:hint="eastAsia" w:ascii="宋体" w:hAnsi="宋体" w:cs="宋体"/>
          <w:sz w:val="18"/>
        </w:rPr>
        <w:t>前完成数据审核、验收、上报。</w:t>
      </w:r>
    </w:p>
    <w:p>
      <w:pPr>
        <w:adjustRightInd w:val="0"/>
        <w:snapToGrid w:val="0"/>
        <w:spacing w:line="260" w:lineRule="atLeast"/>
        <w:ind w:left="667" w:leftChars="258" w:hanging="125" w:hangingChars="70"/>
        <w:rPr>
          <w:rFonts w:ascii="宋体" w:hAnsi="宋体" w:cs="宋体"/>
          <w:sz w:val="18"/>
        </w:rPr>
      </w:pPr>
      <w:r>
        <w:rPr>
          <w:rFonts w:ascii="宋体" w:hAnsi="宋体" w:cs="宋体"/>
          <w:sz w:val="18"/>
          <w:szCs w:val="18"/>
        </w:rPr>
        <w:t>3.</w:t>
      </w:r>
      <w:r>
        <w:rPr>
          <w:rFonts w:ascii="宋体" w:hAnsi="宋体" w:cs="宋体"/>
          <w:sz w:val="18"/>
        </w:rPr>
        <w:t>本</w:t>
      </w:r>
      <w:r>
        <w:rPr>
          <w:rFonts w:hint="eastAsia" w:ascii="宋体" w:hAnsi="宋体" w:cs="宋体"/>
          <w:sz w:val="18"/>
        </w:rPr>
        <w:t>表中“上年同期”数据统一由国家统计局在数据处理软件中复制，调查单位和各级统计机构原则上不得修改；</w:t>
      </w:r>
    </w:p>
    <w:p>
      <w:pPr>
        <w:adjustRightInd w:val="0"/>
        <w:snapToGrid w:val="0"/>
        <w:spacing w:line="260" w:lineRule="atLeast"/>
        <w:ind w:left="667" w:leftChars="258" w:hanging="125" w:hangingChars="70"/>
        <w:rPr>
          <w:rFonts w:ascii="宋体" w:hAnsi="宋体" w:cs="宋体"/>
          <w:sz w:val="18"/>
        </w:rPr>
      </w:pPr>
      <w:r>
        <w:rPr>
          <w:rFonts w:hint="eastAsia" w:ascii="宋体" w:hAnsi="宋体" w:cs="宋体"/>
          <w:sz w:val="18"/>
        </w:rPr>
        <w:t xml:space="preserve">  本年新增的调查单位自行填报“上年同期”数据；涉及兼并、重组等情况的企业，经国家统计局批准后，调查</w:t>
      </w:r>
    </w:p>
    <w:p>
      <w:pPr>
        <w:adjustRightInd w:val="0"/>
        <w:snapToGrid w:val="0"/>
        <w:spacing w:line="260" w:lineRule="atLeast"/>
        <w:ind w:left="840" w:leftChars="340" w:hanging="126" w:firstLineChars="0"/>
        <w:rPr>
          <w:rFonts w:ascii="宋体" w:hAnsi="宋体" w:cs="宋体"/>
          <w:sz w:val="18"/>
          <w:szCs w:val="18"/>
        </w:rPr>
      </w:pPr>
      <w:r>
        <w:rPr>
          <w:rFonts w:hint="eastAsia" w:ascii="宋体" w:hAnsi="宋体" w:cs="宋体"/>
          <w:sz w:val="18"/>
        </w:rPr>
        <w:t>单位可调整同期数；本年新增指标的同期数由调查单位自行填报。</w:t>
      </w:r>
    </w:p>
    <w:p>
      <w:pPr>
        <w:adjustRightInd w:val="0"/>
        <w:snapToGrid w:val="0"/>
        <w:spacing w:line="260" w:lineRule="atLeast"/>
        <w:ind w:left="734" w:leftChars="258" w:hanging="192" w:hangingChars="107"/>
        <w:rPr>
          <w:rFonts w:ascii="宋体" w:hAnsi="宋体" w:cs="宋体"/>
          <w:sz w:val="18"/>
          <w:szCs w:val="18"/>
        </w:rPr>
      </w:pPr>
      <w:r>
        <w:rPr>
          <w:rFonts w:hint="eastAsia" w:ascii="宋体" w:hAnsi="宋体" w:cs="宋体"/>
          <w:sz w:val="18"/>
          <w:szCs w:val="18"/>
        </w:rPr>
        <w:t>4.油品重量单位与容积单位的换算关系：</w:t>
      </w:r>
    </w:p>
    <w:p>
      <w:pPr>
        <w:adjustRightInd w:val="0"/>
        <w:snapToGrid w:val="0"/>
        <w:spacing w:line="260" w:lineRule="atLeast"/>
        <w:ind w:left="722" w:leftChars="344"/>
        <w:rPr>
          <w:rFonts w:ascii="宋体" w:hAnsi="宋体" w:cs="宋体"/>
          <w:sz w:val="18"/>
          <w:szCs w:val="18"/>
        </w:rPr>
      </w:pPr>
      <w:r>
        <w:rPr>
          <w:rFonts w:hint="eastAsia" w:ascii="宋体" w:hAnsi="宋体" w:cs="宋体"/>
          <w:sz w:val="18"/>
          <w:szCs w:val="18"/>
        </w:rPr>
        <w:t>(1)汽</w:t>
      </w:r>
      <w:r>
        <w:rPr>
          <w:rFonts w:ascii="宋体" w:hAnsi="宋体" w:cs="宋体"/>
          <w:sz w:val="18"/>
          <w:szCs w:val="18"/>
        </w:rPr>
        <w:t xml:space="preserve">  </w:t>
      </w:r>
      <w:r>
        <w:rPr>
          <w:rFonts w:hint="eastAsia" w:ascii="宋体" w:hAnsi="宋体" w:cs="宋体"/>
          <w:sz w:val="18"/>
          <w:szCs w:val="18"/>
        </w:rPr>
        <w:t>油：1升=0.73千克=0.00073吨</w:t>
      </w:r>
    </w:p>
    <w:p>
      <w:pPr>
        <w:adjustRightInd w:val="0"/>
        <w:snapToGrid w:val="0"/>
        <w:spacing w:line="260" w:lineRule="atLeast"/>
        <w:ind w:left="722" w:leftChars="344"/>
        <w:rPr>
          <w:rFonts w:ascii="宋体" w:hAnsi="宋体" w:cs="宋体"/>
          <w:sz w:val="18"/>
          <w:szCs w:val="18"/>
        </w:rPr>
      </w:pPr>
      <w:r>
        <w:rPr>
          <w:rFonts w:hint="eastAsia" w:ascii="宋体" w:hAnsi="宋体" w:cs="宋体"/>
          <w:sz w:val="18"/>
          <w:szCs w:val="18"/>
        </w:rPr>
        <w:t>(2)轻柴油：1升=0.86千克=0.00086吨</w:t>
      </w:r>
    </w:p>
    <w:p>
      <w:pPr>
        <w:adjustRightInd w:val="0"/>
        <w:snapToGrid w:val="0"/>
        <w:spacing w:line="260" w:lineRule="atLeast"/>
        <w:ind w:left="722" w:leftChars="344"/>
        <w:rPr>
          <w:rFonts w:ascii="宋体" w:hAnsi="宋体" w:cs="宋体"/>
          <w:sz w:val="18"/>
          <w:szCs w:val="18"/>
        </w:rPr>
      </w:pPr>
      <w:r>
        <w:rPr>
          <w:rFonts w:hint="eastAsia" w:ascii="宋体" w:hAnsi="宋体" w:cs="宋体"/>
          <w:sz w:val="18"/>
          <w:szCs w:val="18"/>
        </w:rPr>
        <w:t>(3)重柴油：1升=0.92千克=0.00092吨</w:t>
      </w:r>
    </w:p>
    <w:p>
      <w:pPr>
        <w:adjustRightInd w:val="0"/>
        <w:snapToGrid w:val="0"/>
        <w:spacing w:line="260" w:lineRule="atLeast"/>
        <w:ind w:left="722" w:leftChars="344"/>
        <w:rPr>
          <w:rFonts w:ascii="宋体" w:hAnsi="宋体" w:cs="宋体"/>
          <w:sz w:val="18"/>
          <w:szCs w:val="18"/>
        </w:rPr>
      </w:pPr>
      <w:r>
        <w:rPr>
          <w:rFonts w:hint="eastAsia" w:ascii="宋体" w:hAnsi="宋体" w:cs="宋体"/>
          <w:sz w:val="18"/>
          <w:szCs w:val="18"/>
        </w:rPr>
        <w:t>(4)煤</w:t>
      </w:r>
      <w:r>
        <w:rPr>
          <w:rFonts w:ascii="宋体" w:hAnsi="宋体" w:cs="宋体"/>
          <w:sz w:val="18"/>
          <w:szCs w:val="18"/>
        </w:rPr>
        <w:t xml:space="preserve">  </w:t>
      </w:r>
      <w:r>
        <w:rPr>
          <w:rFonts w:hint="eastAsia" w:ascii="宋体" w:hAnsi="宋体" w:cs="宋体"/>
          <w:sz w:val="18"/>
          <w:szCs w:val="18"/>
        </w:rPr>
        <w:t>油：1升=0.82千克=0.00082吨</w:t>
      </w:r>
    </w:p>
    <w:p>
      <w:pPr>
        <w:adjustRightInd w:val="0"/>
        <w:snapToGrid w:val="0"/>
        <w:spacing w:line="260" w:lineRule="atLeast"/>
        <w:ind w:left="722" w:leftChars="344"/>
        <w:rPr>
          <w:rFonts w:ascii="宋体" w:hAnsi="宋体" w:cs="宋体"/>
          <w:sz w:val="18"/>
          <w:szCs w:val="18"/>
        </w:rPr>
      </w:pPr>
      <w:r>
        <w:rPr>
          <w:rFonts w:hint="eastAsia" w:ascii="宋体" w:hAnsi="宋体" w:cs="宋体"/>
          <w:sz w:val="18"/>
          <w:szCs w:val="18"/>
        </w:rPr>
        <w:t>(5)燃料油：1升=0.91千克=0.00091吨</w:t>
      </w:r>
    </w:p>
    <w:p>
      <w:pPr>
        <w:snapToGrid w:val="0"/>
        <w:spacing w:beforeLines="100" w:afterLines="100"/>
        <w:jc w:val="center"/>
        <w:outlineLvl w:val="1"/>
        <w:rPr>
          <w:rFonts w:eastAsia="黑体"/>
          <w:sz w:val="28"/>
          <w:szCs w:val="28"/>
        </w:rPr>
      </w:pPr>
      <w:r>
        <w:rPr>
          <w:rFonts w:eastAsia="仿宋_GB2312"/>
          <w:b/>
          <w:spacing w:val="8"/>
          <w:sz w:val="30"/>
          <w:szCs w:val="30"/>
        </w:rPr>
        <w:br w:type="page"/>
      </w:r>
      <w:r>
        <w:rPr>
          <w:rFonts w:eastAsia="黑体"/>
          <w:sz w:val="28"/>
          <w:szCs w:val="28"/>
        </w:rPr>
        <w:t>（三）综合年报表式</w:t>
      </w:r>
    </w:p>
    <w:p>
      <w:pPr>
        <w:spacing w:afterLines="50"/>
        <w:jc w:val="center"/>
        <w:outlineLvl w:val="2"/>
        <w:rPr>
          <w:sz w:val="32"/>
          <w:szCs w:val="32"/>
        </w:rPr>
      </w:pPr>
      <w:r>
        <w:rPr>
          <w:sz w:val="32"/>
          <w:szCs w:val="32"/>
        </w:rPr>
        <w:t>能源平衡表</w:t>
      </w:r>
      <w:r>
        <w:rPr>
          <w:rFonts w:hint="eastAsia"/>
          <w:sz w:val="32"/>
          <w:szCs w:val="32"/>
        </w:rPr>
        <w:t>（</w:t>
      </w:r>
      <w:r>
        <w:rPr>
          <w:sz w:val="32"/>
          <w:szCs w:val="32"/>
        </w:rPr>
        <w:t>实物量</w:t>
      </w:r>
      <w:r>
        <w:rPr>
          <w:rFonts w:hint="eastAsia"/>
          <w:sz w:val="32"/>
          <w:szCs w:val="32"/>
        </w:rPr>
        <w:t>）</w:t>
      </w:r>
    </w:p>
    <w:tbl>
      <w:tblPr>
        <w:tblStyle w:val="25"/>
        <w:tblW w:w="9361" w:type="dxa"/>
        <w:jc w:val="center"/>
        <w:tblInd w:w="0" w:type="dxa"/>
        <w:tblLayout w:type="fixed"/>
        <w:tblCellMar>
          <w:top w:w="0" w:type="dxa"/>
          <w:left w:w="0" w:type="dxa"/>
          <w:bottom w:w="0" w:type="dxa"/>
          <w:right w:w="0" w:type="dxa"/>
        </w:tblCellMar>
      </w:tblPr>
      <w:tblGrid>
        <w:gridCol w:w="3355"/>
        <w:gridCol w:w="840"/>
        <w:gridCol w:w="2618"/>
        <w:gridCol w:w="868"/>
        <w:gridCol w:w="1680"/>
      </w:tblGrid>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618" w:type="dxa"/>
          </w:tcPr>
          <w:p>
            <w:pPr>
              <w:spacing w:line="260" w:lineRule="exact"/>
              <w:rPr>
                <w:sz w:val="18"/>
                <w:szCs w:val="18"/>
              </w:rPr>
            </w:pPr>
            <w:r>
              <w:rPr>
                <w:sz w:val="18"/>
                <w:szCs w:val="18"/>
              </w:rPr>
              <w:t>　　　　　　　　　　　　　</w:t>
            </w:r>
          </w:p>
        </w:tc>
        <w:tc>
          <w:tcPr>
            <w:tcW w:w="868" w:type="dxa"/>
            <w:tcMar>
              <w:left w:w="0" w:type="dxa"/>
              <w:right w:w="0" w:type="dxa"/>
            </w:tcMar>
          </w:tcPr>
          <w:p>
            <w:pPr>
              <w:spacing w:line="260" w:lineRule="exact"/>
              <w:rPr>
                <w:sz w:val="18"/>
                <w:szCs w:val="18"/>
              </w:rPr>
            </w:pPr>
            <w:r>
              <w:rPr>
                <w:sz w:val="18"/>
                <w:szCs w:val="18"/>
              </w:rPr>
              <w:t>表    号：</w:t>
            </w:r>
          </w:p>
        </w:tc>
        <w:tc>
          <w:tcPr>
            <w:tcW w:w="1680" w:type="dxa"/>
            <w:vAlign w:val="center"/>
          </w:tcPr>
          <w:p>
            <w:pPr>
              <w:spacing w:line="260" w:lineRule="exact"/>
              <w:jc w:val="distribute"/>
              <w:rPr>
                <w:spacing w:val="-2"/>
                <w:kern w:val="0"/>
                <w:sz w:val="18"/>
                <w:szCs w:val="18"/>
              </w:rPr>
            </w:pPr>
            <w:r>
              <w:rPr>
                <w:spacing w:val="-2"/>
                <w:kern w:val="0"/>
                <w:sz w:val="18"/>
                <w:szCs w:val="18"/>
              </w:rPr>
              <w:t>Ｐ３０３－１表</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p>
        </w:tc>
        <w:tc>
          <w:tcPr>
            <w:tcW w:w="840" w:type="dxa"/>
          </w:tcPr>
          <w:p>
            <w:pPr>
              <w:spacing w:line="260" w:lineRule="exact"/>
              <w:rPr>
                <w:sz w:val="18"/>
                <w:szCs w:val="18"/>
              </w:rPr>
            </w:pPr>
          </w:p>
        </w:tc>
        <w:tc>
          <w:tcPr>
            <w:tcW w:w="2618" w:type="dxa"/>
          </w:tcPr>
          <w:p>
            <w:pPr>
              <w:spacing w:line="260" w:lineRule="exact"/>
              <w:rPr>
                <w:sz w:val="18"/>
                <w:szCs w:val="18"/>
              </w:rPr>
            </w:pPr>
          </w:p>
        </w:tc>
        <w:tc>
          <w:tcPr>
            <w:tcW w:w="868" w:type="dxa"/>
            <w:tcMar>
              <w:left w:w="0" w:type="dxa"/>
              <w:right w:w="0" w:type="dxa"/>
            </w:tcMar>
            <w:vAlign w:val="center"/>
          </w:tcPr>
          <w:p>
            <w:pPr>
              <w:spacing w:line="260" w:lineRule="exact"/>
              <w:rPr>
                <w:sz w:val="18"/>
                <w:szCs w:val="18"/>
              </w:rPr>
            </w:pPr>
            <w:r>
              <w:rPr>
                <w:sz w:val="18"/>
                <w:szCs w:val="18"/>
              </w:rPr>
              <w:t>制定机关：</w:t>
            </w:r>
          </w:p>
        </w:tc>
        <w:tc>
          <w:tcPr>
            <w:tcW w:w="1680" w:type="dxa"/>
            <w:vAlign w:val="center"/>
          </w:tcPr>
          <w:p>
            <w:pPr>
              <w:spacing w:line="260" w:lineRule="exact"/>
              <w:jc w:val="distribute"/>
              <w:rPr>
                <w:spacing w:val="-2"/>
                <w:kern w:val="0"/>
                <w:sz w:val="18"/>
                <w:szCs w:val="18"/>
              </w:rPr>
            </w:pPr>
            <w:r>
              <w:rPr>
                <w:spacing w:val="-2"/>
                <w:kern w:val="0"/>
                <w:sz w:val="18"/>
                <w:szCs w:val="18"/>
              </w:rPr>
              <w:t>国 家 统 计 局</w:t>
            </w:r>
          </w:p>
        </w:tc>
      </w:tr>
      <w:tr>
        <w:tblPrEx>
          <w:tblLayout w:type="fixed"/>
          <w:tblCellMar>
            <w:top w:w="0" w:type="dxa"/>
            <w:left w:w="0" w:type="dxa"/>
            <w:bottom w:w="0" w:type="dxa"/>
            <w:right w:w="0" w:type="dxa"/>
          </w:tblCellMar>
        </w:tblPrEx>
        <w:trPr>
          <w:jc w:val="center"/>
        </w:trPr>
        <w:tc>
          <w:tcPr>
            <w:tcW w:w="3355" w:type="dxa"/>
          </w:tcPr>
          <w:p>
            <w:pPr>
              <w:spacing w:line="260" w:lineRule="exact"/>
              <w:jc w:val="left"/>
              <w:rPr>
                <w:sz w:val="18"/>
                <w:szCs w:val="18"/>
              </w:rPr>
            </w:pPr>
          </w:p>
        </w:tc>
        <w:tc>
          <w:tcPr>
            <w:tcW w:w="840" w:type="dxa"/>
          </w:tcPr>
          <w:p>
            <w:pPr>
              <w:spacing w:line="260" w:lineRule="exact"/>
              <w:rPr>
                <w:sz w:val="18"/>
                <w:szCs w:val="18"/>
              </w:rPr>
            </w:pPr>
          </w:p>
        </w:tc>
        <w:tc>
          <w:tcPr>
            <w:tcW w:w="2618" w:type="dxa"/>
          </w:tcPr>
          <w:p>
            <w:pPr>
              <w:spacing w:line="260" w:lineRule="exact"/>
              <w:rPr>
                <w:sz w:val="18"/>
                <w:szCs w:val="18"/>
              </w:rPr>
            </w:pPr>
          </w:p>
        </w:tc>
        <w:tc>
          <w:tcPr>
            <w:tcW w:w="868" w:type="dxa"/>
            <w:tcMar>
              <w:left w:w="0" w:type="dxa"/>
              <w:right w:w="0" w:type="dxa"/>
            </w:tcMar>
            <w:vAlign w:val="center"/>
          </w:tcPr>
          <w:p>
            <w:pPr>
              <w:spacing w:line="260" w:lineRule="exact"/>
              <w:rPr>
                <w:sz w:val="18"/>
                <w:szCs w:val="18"/>
              </w:rPr>
            </w:pPr>
            <w:r>
              <w:rPr>
                <w:sz w:val="18"/>
                <w:szCs w:val="18"/>
              </w:rPr>
              <w:t>文    号：</w:t>
            </w:r>
          </w:p>
        </w:tc>
        <w:tc>
          <w:tcPr>
            <w:tcW w:w="1680" w:type="dxa"/>
            <w:vAlign w:val="center"/>
          </w:tcPr>
          <w:p>
            <w:pPr>
              <w:spacing w:line="260" w:lineRule="exact"/>
              <w:jc w:val="distribute"/>
              <w:rPr>
                <w:spacing w:val="-2"/>
                <w:kern w:val="0"/>
                <w:sz w:val="18"/>
                <w:szCs w:val="18"/>
              </w:rPr>
            </w:pPr>
            <w:r>
              <w:rPr>
                <w:rFonts w:hint="eastAsia" w:ascii="宋体" w:hAnsi="宋体"/>
                <w:spacing w:val="-2"/>
                <w:kern w:val="0"/>
                <w:sz w:val="18"/>
                <w:szCs w:val="18"/>
              </w:rPr>
              <w:t>国统字〔2020〕105 号</w:t>
            </w:r>
          </w:p>
        </w:tc>
      </w:tr>
      <w:tr>
        <w:tblPrEx>
          <w:tblLayout w:type="fixed"/>
          <w:tblCellMar>
            <w:top w:w="0" w:type="dxa"/>
            <w:left w:w="0" w:type="dxa"/>
            <w:bottom w:w="0" w:type="dxa"/>
            <w:right w:w="0" w:type="dxa"/>
          </w:tblCellMar>
        </w:tblPrEx>
        <w:trPr>
          <w:jc w:val="center"/>
        </w:trPr>
        <w:tc>
          <w:tcPr>
            <w:tcW w:w="3355" w:type="dxa"/>
          </w:tcPr>
          <w:p>
            <w:pPr>
              <w:spacing w:line="260" w:lineRule="exact"/>
              <w:rPr>
                <w:sz w:val="18"/>
                <w:szCs w:val="18"/>
              </w:rPr>
            </w:pPr>
            <w:r>
              <w:rPr>
                <w:sz w:val="18"/>
              </w:rPr>
              <w:t>综合机关名称：</w:t>
            </w:r>
          </w:p>
        </w:tc>
        <w:tc>
          <w:tcPr>
            <w:tcW w:w="840" w:type="dxa"/>
          </w:tcPr>
          <w:p>
            <w:pPr>
              <w:spacing w:line="260" w:lineRule="exact"/>
              <w:rPr>
                <w:sz w:val="18"/>
                <w:szCs w:val="18"/>
              </w:rPr>
            </w:pPr>
          </w:p>
        </w:tc>
        <w:tc>
          <w:tcPr>
            <w:tcW w:w="2618" w:type="dxa"/>
          </w:tcPr>
          <w:p>
            <w:pPr>
              <w:spacing w:line="260" w:lineRule="exact"/>
              <w:rPr>
                <w:sz w:val="18"/>
                <w:szCs w:val="18"/>
              </w:rPr>
            </w:pPr>
            <w:r>
              <w:rPr>
                <w:sz w:val="18"/>
                <w:szCs w:val="18"/>
              </w:rPr>
              <w:t>２０　　年　　　　　　　　　</w:t>
            </w:r>
          </w:p>
        </w:tc>
        <w:tc>
          <w:tcPr>
            <w:tcW w:w="868" w:type="dxa"/>
            <w:tcMar>
              <w:left w:w="0" w:type="dxa"/>
              <w:right w:w="0" w:type="dxa"/>
            </w:tcMar>
            <w:vAlign w:val="center"/>
          </w:tcPr>
          <w:p>
            <w:pPr>
              <w:spacing w:line="260" w:lineRule="exact"/>
              <w:rPr>
                <w:sz w:val="18"/>
                <w:szCs w:val="18"/>
              </w:rPr>
            </w:pPr>
            <w:r>
              <w:rPr>
                <w:sz w:val="18"/>
                <w:szCs w:val="18"/>
              </w:rPr>
              <w:t>有效期至：</w:t>
            </w:r>
          </w:p>
        </w:tc>
        <w:tc>
          <w:tcPr>
            <w:tcW w:w="1680" w:type="dxa"/>
            <w:vAlign w:val="center"/>
          </w:tcPr>
          <w:p>
            <w:pPr>
              <w:spacing w:line="260" w:lineRule="exact"/>
              <w:jc w:val="distribute"/>
              <w:rPr>
                <w:spacing w:val="-2"/>
                <w:kern w:val="0"/>
                <w:sz w:val="18"/>
                <w:szCs w:val="18"/>
              </w:rPr>
            </w:pPr>
            <w:r>
              <w:rPr>
                <w:spacing w:val="-2"/>
                <w:kern w:val="0"/>
                <w:sz w:val="18"/>
                <w:szCs w:val="18"/>
              </w:rPr>
              <w:t>２０２１年６月</w:t>
            </w:r>
          </w:p>
        </w:tc>
      </w:tr>
    </w:tbl>
    <w:p>
      <w:pPr>
        <w:spacing w:line="20" w:lineRule="exact"/>
        <w:ind w:firstLine="7020" w:firstLineChars="3900"/>
        <w:rPr>
          <w:sz w:val="18"/>
          <w:szCs w:val="18"/>
        </w:rPr>
      </w:pPr>
    </w:p>
    <w:tbl>
      <w:tblPr>
        <w:tblStyle w:val="25"/>
        <w:tblW w:w="94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598"/>
        <w:gridCol w:w="692"/>
        <w:gridCol w:w="693"/>
        <w:gridCol w:w="693"/>
        <w:gridCol w:w="693"/>
        <w:gridCol w:w="693"/>
        <w:gridCol w:w="693"/>
        <w:gridCol w:w="693"/>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3282" w:type="dxa"/>
            <w:vMerge w:val="restart"/>
            <w:tcBorders>
              <w:top w:val="single" w:color="auto" w:sz="8" w:space="0"/>
              <w:left w:val="nil"/>
              <w:bottom w:val="single" w:color="auto" w:sz="2" w:space="0"/>
              <w:right w:val="single" w:color="auto" w:sz="2" w:space="0"/>
            </w:tcBorders>
            <w:vAlign w:val="center"/>
          </w:tcPr>
          <w:p>
            <w:pPr>
              <w:jc w:val="center"/>
              <w:rPr>
                <w:sz w:val="18"/>
                <w:szCs w:val="18"/>
              </w:rPr>
            </w:pPr>
            <w:r>
              <w:rPr>
                <w:sz w:val="18"/>
                <w:szCs w:val="18"/>
              </w:rPr>
              <w:t>指标名称</w:t>
            </w:r>
          </w:p>
        </w:tc>
        <w:tc>
          <w:tcPr>
            <w:tcW w:w="598"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代码</w:t>
            </w:r>
          </w:p>
        </w:tc>
        <w:tc>
          <w:tcPr>
            <w:tcW w:w="692" w:type="dxa"/>
            <w:vMerge w:val="restart"/>
            <w:tcBorders>
              <w:top w:val="single" w:color="auto" w:sz="8"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煤合计        (万吨)</w:t>
            </w:r>
          </w:p>
        </w:tc>
        <w:tc>
          <w:tcPr>
            <w:tcW w:w="693" w:type="dxa"/>
            <w:vMerge w:val="restart"/>
            <w:tcBorders>
              <w:top w:val="single" w:color="auto" w:sz="8" w:space="0"/>
              <w:left w:val="single" w:color="auto" w:sz="2" w:space="0"/>
              <w:bottom w:val="single" w:color="auto" w:sz="2" w:space="0"/>
              <w:right w:val="nil"/>
            </w:tcBorders>
            <w:vAlign w:val="center"/>
          </w:tcPr>
          <w:p>
            <w:pPr>
              <w:ind w:left="-105" w:leftChars="-50" w:right="-105" w:rightChars="-50"/>
              <w:jc w:val="center"/>
              <w:rPr>
                <w:sz w:val="18"/>
                <w:szCs w:val="18"/>
              </w:rPr>
            </w:pPr>
            <w:r>
              <w:rPr>
                <w:sz w:val="18"/>
                <w:szCs w:val="18"/>
              </w:rPr>
              <w:t>原 煤      (万吨)</w:t>
            </w:r>
          </w:p>
        </w:tc>
        <w:tc>
          <w:tcPr>
            <w:tcW w:w="2772" w:type="dxa"/>
            <w:gridSpan w:val="4"/>
            <w:tcBorders>
              <w:top w:val="single" w:color="auto" w:sz="8" w:space="0"/>
              <w:left w:val="nil"/>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洗精煤  (万吨)</w:t>
            </w:r>
          </w:p>
        </w:tc>
        <w:tc>
          <w:tcPr>
            <w:tcW w:w="693" w:type="dxa"/>
            <w:vMerge w:val="restart"/>
            <w:tcBorders>
              <w:top w:val="single" w:color="auto" w:sz="8" w:space="0"/>
              <w:left w:val="single" w:color="auto" w:sz="2" w:space="0"/>
              <w:right w:val="nil"/>
            </w:tcBorders>
            <w:vAlign w:val="center"/>
          </w:tcPr>
          <w:p>
            <w:pPr>
              <w:ind w:left="-105" w:leftChars="-50" w:right="-105" w:rightChars="-50"/>
              <w:jc w:val="center"/>
              <w:rPr>
                <w:sz w:val="18"/>
                <w:szCs w:val="18"/>
              </w:rPr>
            </w:pPr>
            <w:r>
              <w:rPr>
                <w:sz w:val="18"/>
                <w:szCs w:val="18"/>
              </w:rPr>
              <w:t>其 他       洗 煤         (万吨)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3282" w:type="dxa"/>
            <w:vMerge w:val="continue"/>
            <w:tcBorders>
              <w:top w:val="single" w:color="auto" w:sz="2" w:space="0"/>
              <w:left w:val="nil"/>
              <w:bottom w:val="single" w:color="auto" w:sz="2" w:space="0"/>
              <w:right w:val="single" w:color="auto" w:sz="2" w:space="0"/>
            </w:tcBorders>
            <w:vAlign w:val="center"/>
          </w:tcPr>
          <w:p>
            <w:pPr>
              <w:rPr>
                <w:sz w:val="18"/>
                <w:szCs w:val="18"/>
              </w:rPr>
            </w:pPr>
          </w:p>
        </w:tc>
        <w:tc>
          <w:tcPr>
            <w:tcW w:w="598"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692"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restart"/>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无烟煤 (万吨)</w:t>
            </w:r>
          </w:p>
        </w:tc>
        <w:tc>
          <w:tcPr>
            <w:tcW w:w="1386" w:type="dxa"/>
            <w:gridSpan w:val="2"/>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烟煤(万吨)</w:t>
            </w:r>
          </w:p>
        </w:tc>
        <w:tc>
          <w:tcPr>
            <w:tcW w:w="693" w:type="dxa"/>
            <w:vMerge w:val="restart"/>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褐 煤           (万吨)</w:t>
            </w: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left w:val="single" w:color="auto" w:sz="2" w:space="0"/>
              <w:right w:val="nil"/>
            </w:tcBorders>
            <w:vAlign w:val="center"/>
          </w:tcPr>
          <w:p>
            <w:pPr>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282" w:type="dxa"/>
            <w:vMerge w:val="continue"/>
            <w:tcBorders>
              <w:top w:val="single" w:color="auto" w:sz="2" w:space="0"/>
              <w:left w:val="nil"/>
              <w:bottom w:val="single" w:color="auto" w:sz="2" w:space="0"/>
              <w:right w:val="single" w:color="auto" w:sz="2" w:space="0"/>
            </w:tcBorders>
            <w:vAlign w:val="center"/>
          </w:tcPr>
          <w:p>
            <w:pPr>
              <w:rPr>
                <w:sz w:val="18"/>
                <w:szCs w:val="18"/>
              </w:rPr>
            </w:pPr>
          </w:p>
        </w:tc>
        <w:tc>
          <w:tcPr>
            <w:tcW w:w="598"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692"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炼焦          烟煤</w:t>
            </w:r>
          </w:p>
        </w:tc>
        <w:tc>
          <w:tcPr>
            <w:tcW w:w="693" w:type="dxa"/>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r>
              <w:rPr>
                <w:sz w:val="18"/>
                <w:szCs w:val="18"/>
              </w:rPr>
              <w:t>一般           烟煤</w:t>
            </w: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rPr>
                <w:sz w:val="18"/>
                <w:szCs w:val="18"/>
              </w:rPr>
            </w:pPr>
          </w:p>
        </w:tc>
        <w:tc>
          <w:tcPr>
            <w:tcW w:w="693" w:type="dxa"/>
            <w:vMerge w:val="continue"/>
            <w:tcBorders>
              <w:left w:val="single" w:color="auto" w:sz="2" w:space="0"/>
              <w:bottom w:val="single" w:color="auto" w:sz="2" w:space="0"/>
              <w:right w:val="nil"/>
            </w:tcBorders>
            <w:vAlign w:val="center"/>
          </w:tcPr>
          <w:p>
            <w:pPr>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3282" w:type="dxa"/>
            <w:tcBorders>
              <w:top w:val="single" w:color="auto" w:sz="2" w:space="0"/>
              <w:left w:val="nil"/>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甲</w:t>
            </w:r>
          </w:p>
        </w:tc>
        <w:tc>
          <w:tcPr>
            <w:tcW w:w="59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乙</w:t>
            </w:r>
          </w:p>
        </w:tc>
        <w:tc>
          <w:tcPr>
            <w:tcW w:w="6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1</w:t>
            </w:r>
          </w:p>
        </w:tc>
        <w:tc>
          <w:tcPr>
            <w:tcW w:w="693"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2</w:t>
            </w:r>
          </w:p>
        </w:tc>
        <w:tc>
          <w:tcPr>
            <w:tcW w:w="693"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3</w:t>
            </w:r>
          </w:p>
        </w:tc>
        <w:tc>
          <w:tcPr>
            <w:tcW w:w="693"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4</w:t>
            </w:r>
          </w:p>
        </w:tc>
        <w:tc>
          <w:tcPr>
            <w:tcW w:w="693"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5</w:t>
            </w:r>
          </w:p>
        </w:tc>
        <w:tc>
          <w:tcPr>
            <w:tcW w:w="693"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6</w:t>
            </w:r>
          </w:p>
        </w:tc>
        <w:tc>
          <w:tcPr>
            <w:tcW w:w="693"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7</w:t>
            </w:r>
          </w:p>
        </w:tc>
        <w:tc>
          <w:tcPr>
            <w:tcW w:w="693" w:type="dxa"/>
            <w:tcBorders>
              <w:top w:val="single" w:color="auto" w:sz="2" w:space="0"/>
              <w:left w:val="single" w:color="auto" w:sz="2" w:space="0"/>
              <w:bottom w:val="single" w:color="auto" w:sz="2" w:space="0"/>
              <w:right w:val="nil"/>
            </w:tcBorders>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3282" w:type="dxa"/>
            <w:tcBorders>
              <w:top w:val="single" w:color="auto" w:sz="2" w:space="0"/>
              <w:left w:val="nil"/>
              <w:bottom w:val="single" w:color="auto" w:sz="8" w:space="0"/>
              <w:right w:val="single" w:color="auto" w:sz="2" w:space="0"/>
            </w:tcBorders>
            <w:vAlign w:val="center"/>
          </w:tcPr>
          <w:p>
            <w:pPr>
              <w:widowControl/>
              <w:spacing w:line="256" w:lineRule="exact"/>
              <w:rPr>
                <w:bCs/>
                <w:kern w:val="0"/>
                <w:sz w:val="18"/>
                <w:szCs w:val="18"/>
              </w:rPr>
            </w:pPr>
            <w:r>
              <w:rPr>
                <w:bCs/>
                <w:kern w:val="0"/>
                <w:sz w:val="18"/>
                <w:szCs w:val="18"/>
              </w:rPr>
              <w:t>一、可供本地区消费的能源量</w:t>
            </w:r>
          </w:p>
          <w:p>
            <w:pPr>
              <w:widowControl/>
              <w:spacing w:line="256" w:lineRule="exact"/>
              <w:ind w:firstLine="180" w:firstLineChars="100"/>
              <w:rPr>
                <w:rFonts w:ascii="宋体" w:hAnsi="宋体" w:cs="宋体"/>
                <w:kern w:val="0"/>
                <w:sz w:val="18"/>
                <w:szCs w:val="18"/>
              </w:rPr>
            </w:pPr>
            <w:r>
              <w:rPr>
                <w:rFonts w:hint="eastAsia" w:ascii="宋体" w:hAnsi="宋体" w:cs="宋体"/>
                <w:kern w:val="0"/>
                <w:sz w:val="18"/>
                <w:szCs w:val="18"/>
              </w:rPr>
              <w:t xml:space="preserve"> 1.年初库存量</w:t>
            </w:r>
          </w:p>
          <w:p>
            <w:pPr>
              <w:widowControl/>
              <w:spacing w:line="256" w:lineRule="exact"/>
              <w:ind w:firstLine="180" w:firstLineChars="100"/>
              <w:rPr>
                <w:rFonts w:ascii="宋体" w:hAnsi="宋体" w:cs="宋体"/>
                <w:kern w:val="0"/>
                <w:sz w:val="18"/>
                <w:szCs w:val="18"/>
              </w:rPr>
            </w:pPr>
            <w:r>
              <w:rPr>
                <w:rFonts w:hint="eastAsia" w:ascii="宋体" w:hAnsi="宋体" w:cs="宋体"/>
                <w:kern w:val="0"/>
                <w:sz w:val="18"/>
                <w:szCs w:val="18"/>
              </w:rPr>
              <w:t xml:space="preserve"> 2.一次能源生产量</w:t>
            </w:r>
          </w:p>
          <w:p>
            <w:pPr>
              <w:widowControl/>
              <w:spacing w:line="256" w:lineRule="exact"/>
              <w:ind w:firstLine="180" w:firstLineChars="100"/>
              <w:rPr>
                <w:rFonts w:ascii="宋体" w:hAnsi="宋体" w:cs="宋体"/>
                <w:kern w:val="0"/>
                <w:sz w:val="18"/>
                <w:szCs w:val="18"/>
              </w:rPr>
            </w:pPr>
            <w:r>
              <w:rPr>
                <w:rFonts w:hint="eastAsia" w:ascii="宋体" w:hAnsi="宋体" w:cs="宋体"/>
                <w:kern w:val="0"/>
                <w:sz w:val="18"/>
                <w:szCs w:val="18"/>
              </w:rPr>
              <w:t xml:space="preserve"> 3.外省(区、市)调入量</w:t>
            </w:r>
          </w:p>
          <w:p>
            <w:pPr>
              <w:widowControl/>
              <w:spacing w:line="256" w:lineRule="exact"/>
              <w:ind w:firstLine="180" w:firstLineChars="100"/>
              <w:rPr>
                <w:rFonts w:ascii="宋体" w:hAnsi="宋体" w:cs="宋体"/>
                <w:kern w:val="0"/>
                <w:sz w:val="18"/>
                <w:szCs w:val="18"/>
              </w:rPr>
            </w:pPr>
            <w:r>
              <w:rPr>
                <w:rFonts w:hint="eastAsia" w:ascii="宋体" w:hAnsi="宋体" w:cs="宋体"/>
                <w:kern w:val="0"/>
                <w:sz w:val="18"/>
                <w:szCs w:val="18"/>
              </w:rPr>
              <w:t xml:space="preserve"> 4.进口量</w:t>
            </w:r>
          </w:p>
          <w:p>
            <w:pPr>
              <w:widowControl/>
              <w:spacing w:line="256" w:lineRule="exact"/>
              <w:ind w:firstLine="180" w:firstLineChars="100"/>
              <w:rPr>
                <w:rFonts w:ascii="宋体" w:hAnsi="宋体" w:cs="宋体"/>
                <w:kern w:val="0"/>
                <w:sz w:val="18"/>
                <w:szCs w:val="18"/>
              </w:rPr>
            </w:pPr>
            <w:r>
              <w:rPr>
                <w:rFonts w:hint="eastAsia" w:ascii="宋体" w:hAnsi="宋体" w:cs="宋体"/>
                <w:kern w:val="0"/>
                <w:sz w:val="18"/>
                <w:szCs w:val="18"/>
              </w:rPr>
              <w:t xml:space="preserve"> 5.境内轮船和飞机在境外加油量</w:t>
            </w:r>
          </w:p>
          <w:p>
            <w:pPr>
              <w:widowControl/>
              <w:spacing w:line="256" w:lineRule="exact"/>
              <w:ind w:firstLine="180" w:firstLineChars="100"/>
              <w:rPr>
                <w:rFonts w:ascii="宋体" w:hAnsi="宋体" w:cs="宋体"/>
                <w:kern w:val="0"/>
                <w:sz w:val="18"/>
                <w:szCs w:val="18"/>
              </w:rPr>
            </w:pPr>
            <w:r>
              <w:rPr>
                <w:rFonts w:hint="eastAsia" w:ascii="宋体" w:hAnsi="宋体" w:cs="宋体"/>
                <w:kern w:val="0"/>
                <w:sz w:val="18"/>
                <w:szCs w:val="18"/>
              </w:rPr>
              <w:t xml:space="preserve"> 6.本省(区、市)调出量(-) </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7.出口量(-)</w:t>
            </w:r>
          </w:p>
          <w:p>
            <w:pPr>
              <w:widowControl/>
              <w:spacing w:line="256" w:lineRule="exact"/>
              <w:ind w:firstLine="180" w:firstLineChars="100"/>
              <w:rPr>
                <w:rFonts w:ascii="宋体" w:hAnsi="宋体" w:cs="宋体"/>
                <w:kern w:val="0"/>
                <w:sz w:val="18"/>
                <w:szCs w:val="18"/>
              </w:rPr>
            </w:pPr>
            <w:r>
              <w:rPr>
                <w:rFonts w:hint="eastAsia" w:ascii="宋体" w:hAnsi="宋体" w:cs="宋体"/>
                <w:kern w:val="0"/>
                <w:sz w:val="18"/>
                <w:szCs w:val="18"/>
              </w:rPr>
              <w:t xml:space="preserve"> 8.境外轮船和飞机在境内加油量(-)</w:t>
            </w:r>
          </w:p>
          <w:p>
            <w:pPr>
              <w:widowControl/>
              <w:spacing w:line="256" w:lineRule="exact"/>
              <w:ind w:firstLine="180" w:firstLineChars="100"/>
              <w:rPr>
                <w:rFonts w:ascii="宋体" w:hAnsi="宋体" w:cs="宋体"/>
                <w:kern w:val="0"/>
                <w:sz w:val="18"/>
                <w:szCs w:val="18"/>
              </w:rPr>
            </w:pPr>
            <w:r>
              <w:rPr>
                <w:rFonts w:hint="eastAsia" w:ascii="宋体" w:hAnsi="宋体" w:cs="宋体"/>
                <w:kern w:val="0"/>
                <w:sz w:val="18"/>
                <w:szCs w:val="18"/>
              </w:rPr>
              <w:t xml:space="preserve"> 9.年末库存量(-)</w:t>
            </w:r>
          </w:p>
          <w:p>
            <w:pPr>
              <w:widowControl/>
              <w:spacing w:line="256" w:lineRule="exact"/>
              <w:rPr>
                <w:rFonts w:ascii="宋体" w:hAnsi="宋体" w:cs="宋体"/>
                <w:bCs/>
                <w:kern w:val="0"/>
                <w:sz w:val="18"/>
                <w:szCs w:val="18"/>
              </w:rPr>
            </w:pPr>
            <w:r>
              <w:rPr>
                <w:rFonts w:hint="eastAsia" w:ascii="宋体" w:hAnsi="宋体" w:cs="宋体"/>
                <w:bCs/>
                <w:kern w:val="0"/>
                <w:sz w:val="18"/>
                <w:szCs w:val="18"/>
              </w:rPr>
              <w:t>二、加工转换投入</w:t>
            </w:r>
            <w:r>
              <w:rPr>
                <w:rFonts w:ascii="宋体" w:hAnsi="宋体" w:cs="宋体"/>
                <w:kern w:val="0"/>
                <w:sz w:val="18"/>
                <w:szCs w:val="18"/>
              </w:rPr>
              <w:t>(-)</w:t>
            </w:r>
            <w:r>
              <w:rPr>
                <w:rFonts w:hint="eastAsia" w:ascii="宋体" w:hAnsi="宋体" w:cs="宋体"/>
                <w:bCs/>
                <w:kern w:val="0"/>
                <w:sz w:val="18"/>
                <w:szCs w:val="18"/>
              </w:rPr>
              <w:t xml:space="preserve"> 产出(+)量</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1.火力发电</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2.供热</w:t>
            </w:r>
          </w:p>
          <w:p>
            <w:pPr>
              <w:widowControl/>
              <w:spacing w:line="256" w:lineRule="exact"/>
              <w:ind w:firstLine="180" w:firstLineChars="100"/>
              <w:rPr>
                <w:rFonts w:ascii="宋体" w:hAnsi="宋体" w:cs="宋体"/>
                <w:kern w:val="0"/>
                <w:sz w:val="18"/>
                <w:szCs w:val="18"/>
              </w:rPr>
            </w:pPr>
            <w:r>
              <w:rPr>
                <w:rFonts w:hint="eastAsia" w:ascii="宋体" w:hAnsi="宋体" w:cs="宋体"/>
                <w:kern w:val="0"/>
                <w:sz w:val="18"/>
                <w:szCs w:val="18"/>
              </w:rPr>
              <w:t xml:space="preserve"> 3.煤炭洗选 </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4.炼焦</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5.炼油及煤制油</w:t>
            </w:r>
          </w:p>
          <w:p>
            <w:pPr>
              <w:widowControl/>
              <w:spacing w:line="256" w:lineRule="exact"/>
              <w:ind w:firstLine="54" w:firstLineChars="30"/>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其中：油品再投入量(-)</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6.制气</w:t>
            </w:r>
          </w:p>
          <w:p>
            <w:pPr>
              <w:widowControl/>
              <w:spacing w:line="256" w:lineRule="exact"/>
              <w:ind w:firstLine="54" w:firstLineChars="30"/>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其中：焦炭再投入量(-)</w:t>
            </w:r>
          </w:p>
          <w:p>
            <w:pPr>
              <w:widowControl/>
              <w:spacing w:line="256" w:lineRule="exact"/>
              <w:ind w:firstLine="180" w:firstLineChars="100"/>
              <w:rPr>
                <w:rFonts w:ascii="宋体" w:hAnsi="宋体" w:cs="宋体"/>
                <w:kern w:val="0"/>
                <w:sz w:val="18"/>
                <w:szCs w:val="18"/>
              </w:rPr>
            </w:pPr>
            <w:r>
              <w:rPr>
                <w:rFonts w:hint="eastAsia" w:ascii="宋体" w:hAnsi="宋体" w:cs="宋体"/>
                <w:kern w:val="0"/>
                <w:sz w:val="18"/>
                <w:szCs w:val="18"/>
              </w:rPr>
              <w:t xml:space="preserve"> 7.天然气液化</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8.煤制品加工</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9.回收能</w:t>
            </w:r>
          </w:p>
          <w:p>
            <w:pPr>
              <w:widowControl/>
              <w:spacing w:line="256" w:lineRule="exact"/>
              <w:rPr>
                <w:rFonts w:ascii="宋体" w:hAnsi="宋体" w:cs="宋体"/>
                <w:bCs/>
                <w:kern w:val="0"/>
                <w:sz w:val="18"/>
                <w:szCs w:val="18"/>
              </w:rPr>
            </w:pPr>
            <w:r>
              <w:rPr>
                <w:rFonts w:hint="eastAsia" w:ascii="宋体" w:hAnsi="宋体" w:cs="宋体"/>
                <w:bCs/>
                <w:kern w:val="0"/>
                <w:sz w:val="18"/>
                <w:szCs w:val="18"/>
              </w:rPr>
              <w:t>三、损失量</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其中：运输和输配损失</w:t>
            </w:r>
            <w:r>
              <w:rPr>
                <w:rFonts w:hint="eastAsia" w:ascii="宋体" w:hAnsi="宋体" w:cs="宋体"/>
                <w:bCs/>
                <w:kern w:val="0"/>
                <w:sz w:val="18"/>
                <w:szCs w:val="18"/>
              </w:rPr>
              <w:t>量</w:t>
            </w:r>
          </w:p>
          <w:p>
            <w:pPr>
              <w:widowControl/>
              <w:spacing w:line="256" w:lineRule="exact"/>
              <w:rPr>
                <w:rFonts w:ascii="宋体" w:hAnsi="宋体" w:cs="宋体"/>
                <w:bCs/>
                <w:kern w:val="0"/>
                <w:sz w:val="18"/>
                <w:szCs w:val="18"/>
              </w:rPr>
            </w:pPr>
            <w:r>
              <w:rPr>
                <w:rFonts w:hint="eastAsia" w:ascii="宋体" w:hAnsi="宋体" w:cs="宋体"/>
                <w:bCs/>
                <w:kern w:val="0"/>
                <w:sz w:val="18"/>
                <w:szCs w:val="18"/>
              </w:rPr>
              <w:t>四、终端消费量</w:t>
            </w:r>
          </w:p>
          <w:p>
            <w:pPr>
              <w:widowControl/>
              <w:spacing w:line="256" w:lineRule="exact"/>
              <w:ind w:left="252" w:leftChars="120"/>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农、林、牧、渔业</w:t>
            </w:r>
          </w:p>
          <w:p>
            <w:pPr>
              <w:widowControl/>
              <w:spacing w:line="256" w:lineRule="exact"/>
              <w:ind w:firstLine="54" w:firstLineChars="30"/>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4"/>
                <w:szCs w:val="4"/>
              </w:rPr>
              <w:t xml:space="preserve"> </w:t>
            </w:r>
            <w:r>
              <w:rPr>
                <w:rFonts w:hint="eastAsia" w:ascii="宋体" w:hAnsi="宋体" w:cs="宋体"/>
                <w:kern w:val="0"/>
                <w:sz w:val="18"/>
                <w:szCs w:val="18"/>
              </w:rPr>
              <w:t>农、林、牧、渔业</w:t>
            </w:r>
          </w:p>
          <w:p>
            <w:pPr>
              <w:widowControl/>
              <w:spacing w:line="256" w:lineRule="exact"/>
              <w:rPr>
                <w:rFonts w:ascii="宋体" w:hAnsi="宋体" w:cs="宋体"/>
                <w:kern w:val="0"/>
                <w:sz w:val="18"/>
                <w:szCs w:val="18"/>
              </w:rPr>
            </w:pPr>
            <w:r>
              <w:rPr>
                <w:rFonts w:ascii="宋体" w:hAnsi="宋体" w:cs="宋体"/>
                <w:kern w:val="0"/>
                <w:sz w:val="18"/>
                <w:szCs w:val="18"/>
              </w:rPr>
              <w:t xml:space="preserve">   2.</w:t>
            </w:r>
            <w:r>
              <w:rPr>
                <w:rFonts w:hint="eastAsia" w:ascii="宋体" w:hAnsi="宋体" w:cs="宋体"/>
                <w:kern w:val="0"/>
                <w:sz w:val="18"/>
                <w:szCs w:val="18"/>
              </w:rPr>
              <w:t>工业和建筑业</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工业</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其中：用作原料、材料</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建筑业</w:t>
            </w:r>
          </w:p>
          <w:p>
            <w:pPr>
              <w:widowControl/>
              <w:spacing w:line="256" w:lineRule="exact"/>
              <w:ind w:firstLine="251" w:firstLineChars="140"/>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服务业</w:t>
            </w:r>
            <w:r>
              <w:rPr>
                <w:rFonts w:ascii="宋体" w:hAnsi="宋体" w:cs="宋体"/>
                <w:kern w:val="0"/>
                <w:sz w:val="18"/>
                <w:szCs w:val="18"/>
                <w:vertAlign w:val="superscript"/>
              </w:rPr>
              <w:t>*</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交通运输、仓储和邮政业</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批发和零售业、住宿和餐饮业</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其他</w:t>
            </w:r>
          </w:p>
          <w:p>
            <w:pPr>
              <w:widowControl/>
              <w:spacing w:line="256" w:lineRule="exact"/>
              <w:ind w:firstLine="251" w:firstLineChars="140"/>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居民</w:t>
            </w:r>
            <w:r>
              <w:rPr>
                <w:rFonts w:hint="eastAsia" w:ascii="宋体" w:hAnsi="宋体" w:cs="宋体"/>
                <w:kern w:val="0"/>
                <w:sz w:val="18"/>
                <w:szCs w:val="18"/>
              </w:rPr>
              <w:t>生活</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城镇</w:t>
            </w:r>
          </w:p>
          <w:p>
            <w:pPr>
              <w:widowControl/>
              <w:spacing w:line="256" w:lineRule="exact"/>
              <w:rPr>
                <w:rFonts w:ascii="宋体" w:hAnsi="宋体" w:cs="宋体"/>
                <w:kern w:val="0"/>
                <w:sz w:val="18"/>
                <w:szCs w:val="18"/>
              </w:rPr>
            </w:pPr>
            <w:r>
              <w:rPr>
                <w:rFonts w:hint="eastAsia" w:ascii="宋体" w:hAnsi="宋体" w:cs="宋体"/>
                <w:kern w:val="0"/>
                <w:sz w:val="18"/>
                <w:szCs w:val="18"/>
              </w:rPr>
              <w:t xml:space="preserve">     乡村</w:t>
            </w:r>
          </w:p>
          <w:p>
            <w:pPr>
              <w:widowControl/>
              <w:spacing w:line="256" w:lineRule="exact"/>
              <w:rPr>
                <w:rFonts w:ascii="宋体" w:hAnsi="宋体" w:cs="宋体"/>
                <w:bCs/>
                <w:kern w:val="0"/>
                <w:sz w:val="18"/>
                <w:szCs w:val="18"/>
              </w:rPr>
            </w:pPr>
            <w:r>
              <w:rPr>
                <w:rFonts w:hint="eastAsia" w:ascii="宋体" w:hAnsi="宋体" w:cs="宋体"/>
                <w:bCs/>
                <w:kern w:val="0"/>
                <w:sz w:val="18"/>
                <w:szCs w:val="18"/>
              </w:rPr>
              <w:t>五、平衡差额(+、-)</w:t>
            </w:r>
          </w:p>
          <w:p>
            <w:pPr>
              <w:spacing w:line="256" w:lineRule="exact"/>
              <w:rPr>
                <w:sz w:val="18"/>
                <w:szCs w:val="18"/>
              </w:rPr>
            </w:pPr>
            <w:r>
              <w:rPr>
                <w:rFonts w:hint="eastAsia" w:ascii="宋体" w:hAnsi="宋体" w:cs="宋体"/>
                <w:bCs/>
                <w:kern w:val="0"/>
                <w:sz w:val="18"/>
                <w:szCs w:val="18"/>
              </w:rPr>
              <w:t>六、消费量合计</w:t>
            </w:r>
          </w:p>
        </w:tc>
        <w:tc>
          <w:tcPr>
            <w:tcW w:w="598" w:type="dxa"/>
            <w:tcBorders>
              <w:top w:val="single" w:color="auto" w:sz="2" w:space="0"/>
              <w:left w:val="single" w:color="auto" w:sz="2" w:space="0"/>
              <w:bottom w:val="single" w:color="auto" w:sz="8" w:space="0"/>
              <w:right w:val="single" w:color="auto" w:sz="2" w:space="0"/>
            </w:tcBorders>
          </w:tcPr>
          <w:p>
            <w:pPr>
              <w:widowControl/>
              <w:spacing w:line="256" w:lineRule="exact"/>
              <w:jc w:val="center"/>
              <w:rPr>
                <w:rFonts w:ascii="宋体" w:hAnsi="宋体" w:cs="宋体"/>
                <w:sz w:val="18"/>
                <w:szCs w:val="18"/>
              </w:rPr>
            </w:pPr>
            <w:r>
              <w:rPr>
                <w:rFonts w:ascii="宋体" w:hAnsi="宋体" w:cs="宋体"/>
                <w:sz w:val="18"/>
                <w:szCs w:val="18"/>
              </w:rPr>
              <w:t>01</w:t>
            </w:r>
          </w:p>
          <w:p>
            <w:pPr>
              <w:widowControl/>
              <w:spacing w:line="256" w:lineRule="exact"/>
              <w:jc w:val="center"/>
              <w:rPr>
                <w:rFonts w:ascii="宋体" w:hAnsi="宋体" w:cs="宋体"/>
                <w:sz w:val="18"/>
                <w:szCs w:val="18"/>
              </w:rPr>
            </w:pPr>
            <w:r>
              <w:rPr>
                <w:rFonts w:ascii="宋体" w:hAnsi="宋体" w:cs="宋体"/>
                <w:sz w:val="18"/>
                <w:szCs w:val="18"/>
              </w:rPr>
              <w:t>02</w:t>
            </w:r>
          </w:p>
          <w:p>
            <w:pPr>
              <w:widowControl/>
              <w:spacing w:line="256" w:lineRule="exact"/>
              <w:jc w:val="center"/>
              <w:rPr>
                <w:rFonts w:ascii="宋体" w:hAnsi="宋体" w:cs="宋体"/>
                <w:sz w:val="18"/>
                <w:szCs w:val="18"/>
              </w:rPr>
            </w:pPr>
            <w:r>
              <w:rPr>
                <w:rFonts w:ascii="宋体" w:hAnsi="宋体" w:cs="宋体"/>
                <w:sz w:val="18"/>
                <w:szCs w:val="18"/>
              </w:rPr>
              <w:t>03</w:t>
            </w:r>
          </w:p>
          <w:p>
            <w:pPr>
              <w:widowControl/>
              <w:spacing w:line="256" w:lineRule="exact"/>
              <w:jc w:val="center"/>
              <w:rPr>
                <w:rFonts w:ascii="宋体" w:hAnsi="宋体" w:cs="宋体"/>
                <w:sz w:val="18"/>
                <w:szCs w:val="18"/>
              </w:rPr>
            </w:pPr>
            <w:r>
              <w:rPr>
                <w:rFonts w:ascii="宋体" w:hAnsi="宋体" w:cs="宋体"/>
                <w:sz w:val="18"/>
                <w:szCs w:val="18"/>
              </w:rPr>
              <w:t>04</w:t>
            </w:r>
          </w:p>
          <w:p>
            <w:pPr>
              <w:widowControl/>
              <w:spacing w:line="256" w:lineRule="exact"/>
              <w:jc w:val="center"/>
              <w:rPr>
                <w:rFonts w:ascii="宋体" w:hAnsi="宋体" w:cs="宋体"/>
                <w:sz w:val="18"/>
                <w:szCs w:val="18"/>
              </w:rPr>
            </w:pPr>
            <w:r>
              <w:rPr>
                <w:rFonts w:ascii="宋体" w:hAnsi="宋体" w:cs="宋体"/>
                <w:sz w:val="18"/>
                <w:szCs w:val="18"/>
              </w:rPr>
              <w:t>05</w:t>
            </w:r>
          </w:p>
          <w:p>
            <w:pPr>
              <w:widowControl/>
              <w:spacing w:line="256" w:lineRule="exact"/>
              <w:jc w:val="center"/>
              <w:rPr>
                <w:rFonts w:ascii="宋体" w:hAnsi="宋体" w:cs="宋体"/>
                <w:sz w:val="18"/>
                <w:szCs w:val="18"/>
              </w:rPr>
            </w:pPr>
            <w:r>
              <w:rPr>
                <w:rFonts w:ascii="宋体" w:hAnsi="宋体" w:cs="宋体"/>
                <w:sz w:val="18"/>
                <w:szCs w:val="18"/>
              </w:rPr>
              <w:t>06</w:t>
            </w:r>
          </w:p>
          <w:p>
            <w:pPr>
              <w:widowControl/>
              <w:spacing w:line="256" w:lineRule="exact"/>
              <w:jc w:val="center"/>
              <w:rPr>
                <w:rFonts w:ascii="宋体" w:hAnsi="宋体" w:cs="宋体"/>
                <w:sz w:val="18"/>
                <w:szCs w:val="18"/>
              </w:rPr>
            </w:pPr>
            <w:r>
              <w:rPr>
                <w:rFonts w:ascii="宋体" w:hAnsi="宋体" w:cs="宋体"/>
                <w:sz w:val="18"/>
                <w:szCs w:val="18"/>
              </w:rPr>
              <w:t>07</w:t>
            </w:r>
          </w:p>
          <w:p>
            <w:pPr>
              <w:widowControl/>
              <w:spacing w:line="256" w:lineRule="exact"/>
              <w:jc w:val="center"/>
              <w:rPr>
                <w:rFonts w:ascii="宋体" w:hAnsi="宋体" w:cs="宋体"/>
                <w:sz w:val="18"/>
                <w:szCs w:val="18"/>
              </w:rPr>
            </w:pPr>
            <w:r>
              <w:rPr>
                <w:rFonts w:ascii="宋体" w:hAnsi="宋体" w:cs="宋体"/>
                <w:sz w:val="18"/>
                <w:szCs w:val="18"/>
              </w:rPr>
              <w:t>08</w:t>
            </w:r>
          </w:p>
          <w:p>
            <w:pPr>
              <w:widowControl/>
              <w:spacing w:line="256" w:lineRule="exact"/>
              <w:jc w:val="center"/>
              <w:rPr>
                <w:rFonts w:ascii="宋体" w:hAnsi="宋体" w:cs="宋体"/>
                <w:sz w:val="18"/>
                <w:szCs w:val="18"/>
              </w:rPr>
            </w:pPr>
            <w:r>
              <w:rPr>
                <w:rFonts w:ascii="宋体" w:hAnsi="宋体" w:cs="宋体"/>
                <w:sz w:val="18"/>
                <w:szCs w:val="18"/>
              </w:rPr>
              <w:t>09</w:t>
            </w:r>
          </w:p>
          <w:p>
            <w:pPr>
              <w:widowControl/>
              <w:spacing w:line="256" w:lineRule="exact"/>
              <w:jc w:val="center"/>
              <w:rPr>
                <w:rFonts w:ascii="宋体" w:hAnsi="宋体" w:cs="宋体"/>
                <w:sz w:val="18"/>
                <w:szCs w:val="18"/>
              </w:rPr>
            </w:pPr>
            <w:r>
              <w:rPr>
                <w:rFonts w:ascii="宋体" w:hAnsi="宋体" w:cs="宋体"/>
                <w:sz w:val="18"/>
                <w:szCs w:val="18"/>
              </w:rPr>
              <w:t>10</w:t>
            </w:r>
          </w:p>
          <w:p>
            <w:pPr>
              <w:widowControl/>
              <w:spacing w:line="256" w:lineRule="exact"/>
              <w:jc w:val="center"/>
              <w:rPr>
                <w:rFonts w:ascii="宋体" w:hAnsi="宋体" w:cs="宋体"/>
                <w:sz w:val="18"/>
                <w:szCs w:val="18"/>
              </w:rPr>
            </w:pPr>
            <w:r>
              <w:rPr>
                <w:rFonts w:ascii="宋体" w:hAnsi="宋体" w:cs="宋体"/>
                <w:sz w:val="18"/>
                <w:szCs w:val="18"/>
              </w:rPr>
              <w:t>11</w:t>
            </w:r>
          </w:p>
          <w:p>
            <w:pPr>
              <w:widowControl/>
              <w:spacing w:line="256" w:lineRule="exact"/>
              <w:jc w:val="center"/>
              <w:rPr>
                <w:rFonts w:ascii="宋体" w:hAnsi="宋体" w:cs="宋体"/>
                <w:sz w:val="18"/>
                <w:szCs w:val="18"/>
              </w:rPr>
            </w:pPr>
            <w:r>
              <w:rPr>
                <w:rFonts w:ascii="宋体" w:hAnsi="宋体" w:cs="宋体"/>
                <w:sz w:val="18"/>
                <w:szCs w:val="18"/>
              </w:rPr>
              <w:t>12</w:t>
            </w:r>
          </w:p>
          <w:p>
            <w:pPr>
              <w:widowControl/>
              <w:spacing w:line="256" w:lineRule="exact"/>
              <w:jc w:val="center"/>
              <w:rPr>
                <w:rFonts w:ascii="宋体" w:hAnsi="宋体" w:cs="宋体"/>
                <w:sz w:val="18"/>
                <w:szCs w:val="18"/>
              </w:rPr>
            </w:pPr>
            <w:r>
              <w:rPr>
                <w:rFonts w:ascii="宋体" w:hAnsi="宋体" w:cs="宋体"/>
                <w:sz w:val="18"/>
                <w:szCs w:val="18"/>
              </w:rPr>
              <w:t>13</w:t>
            </w:r>
          </w:p>
          <w:p>
            <w:pPr>
              <w:widowControl/>
              <w:spacing w:line="256" w:lineRule="exact"/>
              <w:jc w:val="center"/>
              <w:rPr>
                <w:rFonts w:ascii="宋体" w:hAnsi="宋体" w:cs="宋体"/>
                <w:sz w:val="18"/>
                <w:szCs w:val="18"/>
              </w:rPr>
            </w:pPr>
            <w:r>
              <w:rPr>
                <w:rFonts w:ascii="宋体" w:hAnsi="宋体" w:cs="宋体"/>
                <w:sz w:val="18"/>
                <w:szCs w:val="18"/>
              </w:rPr>
              <w:t>14</w:t>
            </w:r>
          </w:p>
          <w:p>
            <w:pPr>
              <w:widowControl/>
              <w:spacing w:line="256" w:lineRule="exact"/>
              <w:jc w:val="center"/>
              <w:rPr>
                <w:rFonts w:ascii="宋体" w:hAnsi="宋体" w:cs="宋体"/>
                <w:sz w:val="18"/>
                <w:szCs w:val="18"/>
              </w:rPr>
            </w:pPr>
            <w:r>
              <w:rPr>
                <w:rFonts w:ascii="宋体" w:hAnsi="宋体" w:cs="宋体"/>
                <w:sz w:val="18"/>
                <w:szCs w:val="18"/>
              </w:rPr>
              <w:t>15</w:t>
            </w:r>
          </w:p>
          <w:p>
            <w:pPr>
              <w:widowControl/>
              <w:spacing w:line="256" w:lineRule="exact"/>
              <w:jc w:val="center"/>
              <w:rPr>
                <w:rFonts w:ascii="宋体" w:hAnsi="宋体" w:cs="宋体"/>
                <w:sz w:val="18"/>
                <w:szCs w:val="18"/>
              </w:rPr>
            </w:pPr>
            <w:r>
              <w:rPr>
                <w:rFonts w:ascii="宋体" w:hAnsi="宋体" w:cs="宋体"/>
                <w:sz w:val="18"/>
                <w:szCs w:val="18"/>
              </w:rPr>
              <w:t>16</w:t>
            </w:r>
          </w:p>
          <w:p>
            <w:pPr>
              <w:widowControl/>
              <w:spacing w:line="256" w:lineRule="exact"/>
              <w:jc w:val="center"/>
              <w:rPr>
                <w:rFonts w:ascii="宋体" w:hAnsi="宋体" w:cs="宋体"/>
                <w:sz w:val="18"/>
                <w:szCs w:val="18"/>
              </w:rPr>
            </w:pPr>
            <w:r>
              <w:rPr>
                <w:rFonts w:ascii="宋体" w:hAnsi="宋体" w:cs="宋体"/>
                <w:sz w:val="18"/>
                <w:szCs w:val="18"/>
              </w:rPr>
              <w:t>17</w:t>
            </w:r>
          </w:p>
          <w:p>
            <w:pPr>
              <w:widowControl/>
              <w:spacing w:line="256" w:lineRule="exact"/>
              <w:jc w:val="center"/>
              <w:rPr>
                <w:rFonts w:ascii="宋体" w:hAnsi="宋体" w:cs="宋体"/>
                <w:sz w:val="18"/>
                <w:szCs w:val="18"/>
              </w:rPr>
            </w:pPr>
            <w:r>
              <w:rPr>
                <w:rFonts w:ascii="宋体" w:hAnsi="宋体" w:cs="宋体"/>
                <w:sz w:val="18"/>
                <w:szCs w:val="18"/>
              </w:rPr>
              <w:t>18</w:t>
            </w:r>
          </w:p>
          <w:p>
            <w:pPr>
              <w:widowControl/>
              <w:spacing w:line="256" w:lineRule="exact"/>
              <w:jc w:val="center"/>
              <w:rPr>
                <w:rFonts w:ascii="宋体" w:hAnsi="宋体" w:cs="宋体"/>
                <w:sz w:val="18"/>
                <w:szCs w:val="18"/>
              </w:rPr>
            </w:pPr>
            <w:r>
              <w:rPr>
                <w:rFonts w:ascii="宋体" w:hAnsi="宋体" w:cs="宋体"/>
                <w:sz w:val="18"/>
                <w:szCs w:val="18"/>
              </w:rPr>
              <w:t>19</w:t>
            </w:r>
          </w:p>
          <w:p>
            <w:pPr>
              <w:widowControl/>
              <w:spacing w:line="256" w:lineRule="exact"/>
              <w:jc w:val="center"/>
              <w:rPr>
                <w:rFonts w:ascii="宋体" w:hAnsi="宋体" w:cs="宋体"/>
                <w:sz w:val="18"/>
                <w:szCs w:val="18"/>
              </w:rPr>
            </w:pPr>
            <w:r>
              <w:rPr>
                <w:rFonts w:ascii="宋体" w:hAnsi="宋体" w:cs="宋体"/>
                <w:sz w:val="18"/>
                <w:szCs w:val="18"/>
              </w:rPr>
              <w:t>20</w:t>
            </w:r>
          </w:p>
          <w:p>
            <w:pPr>
              <w:widowControl/>
              <w:spacing w:line="256" w:lineRule="exact"/>
              <w:jc w:val="center"/>
              <w:rPr>
                <w:rFonts w:ascii="宋体" w:hAnsi="宋体" w:cs="宋体"/>
                <w:sz w:val="18"/>
                <w:szCs w:val="18"/>
              </w:rPr>
            </w:pPr>
            <w:r>
              <w:rPr>
                <w:rFonts w:ascii="宋体" w:hAnsi="宋体" w:cs="宋体"/>
                <w:sz w:val="18"/>
                <w:szCs w:val="18"/>
              </w:rPr>
              <w:t>21</w:t>
            </w:r>
          </w:p>
          <w:p>
            <w:pPr>
              <w:widowControl/>
              <w:spacing w:line="256" w:lineRule="exact"/>
              <w:jc w:val="center"/>
              <w:rPr>
                <w:rFonts w:ascii="宋体" w:hAnsi="宋体" w:cs="宋体"/>
                <w:sz w:val="18"/>
                <w:szCs w:val="18"/>
              </w:rPr>
            </w:pPr>
            <w:r>
              <w:rPr>
                <w:rFonts w:ascii="宋体" w:hAnsi="宋体" w:cs="宋体"/>
                <w:sz w:val="18"/>
                <w:szCs w:val="18"/>
              </w:rPr>
              <w:t>22</w:t>
            </w:r>
          </w:p>
          <w:p>
            <w:pPr>
              <w:widowControl/>
              <w:spacing w:line="256" w:lineRule="exact"/>
              <w:jc w:val="center"/>
              <w:rPr>
                <w:rFonts w:ascii="宋体" w:hAnsi="宋体" w:cs="宋体"/>
                <w:sz w:val="18"/>
                <w:szCs w:val="18"/>
              </w:rPr>
            </w:pPr>
            <w:r>
              <w:rPr>
                <w:rFonts w:ascii="宋体" w:hAnsi="宋体" w:cs="宋体"/>
                <w:sz w:val="18"/>
                <w:szCs w:val="18"/>
              </w:rPr>
              <w:t>23</w:t>
            </w:r>
          </w:p>
          <w:p>
            <w:pPr>
              <w:widowControl/>
              <w:spacing w:line="256" w:lineRule="exact"/>
              <w:jc w:val="center"/>
              <w:rPr>
                <w:rFonts w:ascii="宋体" w:hAnsi="宋体" w:cs="宋体"/>
                <w:sz w:val="18"/>
                <w:szCs w:val="18"/>
              </w:rPr>
            </w:pPr>
            <w:r>
              <w:rPr>
                <w:rFonts w:ascii="宋体" w:hAnsi="宋体" w:cs="宋体"/>
                <w:sz w:val="18"/>
                <w:szCs w:val="18"/>
              </w:rPr>
              <w:t>24</w:t>
            </w:r>
          </w:p>
          <w:p>
            <w:pPr>
              <w:widowControl/>
              <w:spacing w:line="256" w:lineRule="exact"/>
              <w:jc w:val="center"/>
              <w:rPr>
                <w:rFonts w:ascii="宋体" w:hAnsi="宋体" w:cs="宋体"/>
                <w:sz w:val="18"/>
                <w:szCs w:val="18"/>
              </w:rPr>
            </w:pPr>
            <w:r>
              <w:rPr>
                <w:rFonts w:ascii="宋体" w:hAnsi="宋体" w:cs="宋体"/>
                <w:sz w:val="18"/>
                <w:szCs w:val="18"/>
              </w:rPr>
              <w:t>25</w:t>
            </w:r>
          </w:p>
          <w:p>
            <w:pPr>
              <w:widowControl/>
              <w:spacing w:line="256" w:lineRule="exact"/>
              <w:jc w:val="center"/>
              <w:rPr>
                <w:rFonts w:ascii="宋体" w:hAnsi="宋体" w:cs="宋体"/>
                <w:sz w:val="18"/>
                <w:szCs w:val="18"/>
              </w:rPr>
            </w:pPr>
            <w:r>
              <w:rPr>
                <w:rFonts w:ascii="宋体" w:hAnsi="宋体" w:cs="宋体"/>
                <w:sz w:val="18"/>
                <w:szCs w:val="18"/>
              </w:rPr>
              <w:t>26</w:t>
            </w:r>
          </w:p>
          <w:p>
            <w:pPr>
              <w:widowControl/>
              <w:spacing w:line="256" w:lineRule="exact"/>
              <w:jc w:val="center"/>
              <w:rPr>
                <w:rFonts w:ascii="宋体" w:hAnsi="宋体" w:cs="宋体"/>
                <w:sz w:val="18"/>
                <w:szCs w:val="18"/>
              </w:rPr>
            </w:pPr>
            <w:r>
              <w:rPr>
                <w:rFonts w:ascii="宋体" w:hAnsi="宋体" w:cs="宋体"/>
                <w:sz w:val="18"/>
                <w:szCs w:val="18"/>
              </w:rPr>
              <w:t>27</w:t>
            </w:r>
          </w:p>
          <w:p>
            <w:pPr>
              <w:widowControl/>
              <w:spacing w:line="256" w:lineRule="exact"/>
              <w:jc w:val="center"/>
              <w:rPr>
                <w:rFonts w:ascii="宋体" w:hAnsi="宋体" w:cs="宋体"/>
                <w:sz w:val="18"/>
                <w:szCs w:val="18"/>
              </w:rPr>
            </w:pPr>
            <w:r>
              <w:rPr>
                <w:rFonts w:ascii="宋体" w:hAnsi="宋体" w:cs="宋体"/>
                <w:sz w:val="18"/>
                <w:szCs w:val="18"/>
              </w:rPr>
              <w:t>28</w:t>
            </w:r>
          </w:p>
          <w:p>
            <w:pPr>
              <w:widowControl/>
              <w:spacing w:line="256" w:lineRule="exact"/>
              <w:jc w:val="center"/>
              <w:rPr>
                <w:rFonts w:ascii="宋体" w:hAnsi="宋体" w:cs="宋体"/>
                <w:sz w:val="18"/>
                <w:szCs w:val="18"/>
              </w:rPr>
            </w:pPr>
            <w:r>
              <w:rPr>
                <w:rFonts w:ascii="宋体" w:hAnsi="宋体" w:cs="宋体"/>
                <w:sz w:val="18"/>
                <w:szCs w:val="18"/>
              </w:rPr>
              <w:t>29</w:t>
            </w:r>
          </w:p>
          <w:p>
            <w:pPr>
              <w:widowControl/>
              <w:spacing w:line="256" w:lineRule="exact"/>
              <w:jc w:val="center"/>
              <w:rPr>
                <w:rFonts w:ascii="宋体" w:hAnsi="宋体" w:cs="宋体"/>
                <w:sz w:val="18"/>
                <w:szCs w:val="18"/>
              </w:rPr>
            </w:pPr>
            <w:r>
              <w:rPr>
                <w:rFonts w:ascii="宋体" w:hAnsi="宋体" w:cs="宋体"/>
                <w:sz w:val="18"/>
                <w:szCs w:val="18"/>
              </w:rPr>
              <w:t>30</w:t>
            </w:r>
          </w:p>
          <w:p>
            <w:pPr>
              <w:widowControl/>
              <w:spacing w:line="256" w:lineRule="exact"/>
              <w:jc w:val="center"/>
              <w:rPr>
                <w:rFonts w:ascii="宋体" w:hAnsi="宋体" w:cs="宋体"/>
                <w:sz w:val="18"/>
                <w:szCs w:val="18"/>
              </w:rPr>
            </w:pPr>
            <w:r>
              <w:rPr>
                <w:rFonts w:ascii="宋体" w:hAnsi="宋体" w:cs="宋体"/>
                <w:sz w:val="18"/>
                <w:szCs w:val="18"/>
              </w:rPr>
              <w:t>31</w:t>
            </w:r>
          </w:p>
          <w:p>
            <w:pPr>
              <w:widowControl/>
              <w:spacing w:line="256" w:lineRule="exact"/>
              <w:jc w:val="center"/>
              <w:rPr>
                <w:rFonts w:ascii="宋体" w:hAnsi="宋体" w:cs="宋体"/>
                <w:sz w:val="18"/>
                <w:szCs w:val="18"/>
              </w:rPr>
            </w:pPr>
            <w:r>
              <w:rPr>
                <w:rFonts w:ascii="宋体" w:hAnsi="宋体" w:cs="宋体"/>
                <w:sz w:val="18"/>
                <w:szCs w:val="18"/>
              </w:rPr>
              <w:t>32</w:t>
            </w:r>
          </w:p>
          <w:p>
            <w:pPr>
              <w:widowControl/>
              <w:spacing w:line="256" w:lineRule="exact"/>
              <w:jc w:val="center"/>
              <w:rPr>
                <w:rFonts w:ascii="宋体" w:hAnsi="宋体" w:cs="宋体"/>
                <w:sz w:val="18"/>
                <w:szCs w:val="18"/>
              </w:rPr>
            </w:pPr>
            <w:r>
              <w:rPr>
                <w:rFonts w:ascii="宋体" w:hAnsi="宋体" w:cs="宋体"/>
                <w:sz w:val="18"/>
                <w:szCs w:val="18"/>
              </w:rPr>
              <w:t>33</w:t>
            </w:r>
          </w:p>
          <w:p>
            <w:pPr>
              <w:widowControl/>
              <w:spacing w:line="256" w:lineRule="exact"/>
              <w:jc w:val="center"/>
              <w:rPr>
                <w:rFonts w:ascii="宋体" w:hAnsi="宋体" w:cs="宋体"/>
                <w:sz w:val="18"/>
                <w:szCs w:val="18"/>
              </w:rPr>
            </w:pPr>
            <w:r>
              <w:rPr>
                <w:rFonts w:ascii="宋体" w:hAnsi="宋体" w:cs="宋体"/>
                <w:sz w:val="18"/>
                <w:szCs w:val="18"/>
              </w:rPr>
              <w:t>34</w:t>
            </w:r>
          </w:p>
          <w:p>
            <w:pPr>
              <w:widowControl/>
              <w:spacing w:line="256" w:lineRule="exact"/>
              <w:jc w:val="center"/>
              <w:rPr>
                <w:rFonts w:ascii="宋体" w:hAnsi="宋体" w:cs="宋体"/>
                <w:sz w:val="18"/>
                <w:szCs w:val="18"/>
              </w:rPr>
            </w:pPr>
            <w:r>
              <w:rPr>
                <w:rFonts w:ascii="宋体" w:hAnsi="宋体" w:cs="宋体"/>
                <w:sz w:val="18"/>
                <w:szCs w:val="18"/>
              </w:rPr>
              <w:t>35</w:t>
            </w:r>
          </w:p>
          <w:p>
            <w:pPr>
              <w:widowControl/>
              <w:spacing w:line="256" w:lineRule="exact"/>
              <w:jc w:val="center"/>
              <w:rPr>
                <w:rFonts w:ascii="宋体" w:hAnsi="宋体" w:cs="宋体"/>
                <w:sz w:val="18"/>
                <w:szCs w:val="18"/>
              </w:rPr>
            </w:pPr>
            <w:r>
              <w:rPr>
                <w:rFonts w:ascii="宋体" w:hAnsi="宋体" w:cs="宋体"/>
                <w:sz w:val="18"/>
                <w:szCs w:val="18"/>
              </w:rPr>
              <w:t>36</w:t>
            </w:r>
          </w:p>
          <w:p>
            <w:pPr>
              <w:widowControl/>
              <w:spacing w:line="256" w:lineRule="exact"/>
              <w:jc w:val="center"/>
              <w:rPr>
                <w:rFonts w:ascii="宋体" w:hAnsi="宋体" w:cs="宋体"/>
                <w:sz w:val="18"/>
                <w:szCs w:val="18"/>
              </w:rPr>
            </w:pPr>
            <w:r>
              <w:rPr>
                <w:rFonts w:ascii="宋体" w:hAnsi="宋体" w:cs="宋体"/>
                <w:sz w:val="18"/>
                <w:szCs w:val="18"/>
              </w:rPr>
              <w:t>37</w:t>
            </w:r>
          </w:p>
          <w:p>
            <w:pPr>
              <w:spacing w:line="256" w:lineRule="exact"/>
              <w:jc w:val="center"/>
              <w:rPr>
                <w:rFonts w:ascii="宋体" w:hAnsi="宋体" w:cs="宋体"/>
                <w:sz w:val="18"/>
                <w:szCs w:val="18"/>
              </w:rPr>
            </w:pPr>
            <w:r>
              <w:rPr>
                <w:rFonts w:ascii="宋体" w:hAnsi="宋体" w:cs="宋体"/>
                <w:sz w:val="18"/>
                <w:szCs w:val="18"/>
              </w:rPr>
              <w:t>38</w:t>
            </w:r>
          </w:p>
          <w:p>
            <w:pPr>
              <w:spacing w:line="256" w:lineRule="exact"/>
              <w:jc w:val="center"/>
              <w:rPr>
                <w:rFonts w:ascii="宋体" w:hAnsi="宋体" w:cs="宋体"/>
                <w:sz w:val="18"/>
                <w:szCs w:val="18"/>
              </w:rPr>
            </w:pPr>
            <w:r>
              <w:rPr>
                <w:rFonts w:ascii="宋体" w:hAnsi="宋体" w:cs="宋体"/>
                <w:sz w:val="18"/>
                <w:szCs w:val="18"/>
              </w:rPr>
              <w:t>39</w:t>
            </w:r>
          </w:p>
          <w:p>
            <w:pPr>
              <w:spacing w:line="256" w:lineRule="exact"/>
              <w:jc w:val="center"/>
              <w:rPr>
                <w:sz w:val="18"/>
                <w:szCs w:val="18"/>
              </w:rPr>
            </w:pPr>
            <w:r>
              <w:rPr>
                <w:rFonts w:ascii="宋体" w:hAnsi="宋体" w:cs="宋体"/>
                <w:sz w:val="18"/>
                <w:szCs w:val="18"/>
              </w:rPr>
              <w:t>40</w:t>
            </w:r>
          </w:p>
        </w:tc>
        <w:tc>
          <w:tcPr>
            <w:tcW w:w="5543" w:type="dxa"/>
            <w:gridSpan w:val="8"/>
            <w:tcBorders>
              <w:top w:val="single" w:color="auto" w:sz="2" w:space="0"/>
              <w:left w:val="single" w:color="auto" w:sz="2" w:space="0"/>
              <w:bottom w:val="single" w:color="auto" w:sz="8" w:space="0"/>
              <w:right w:val="nil"/>
            </w:tcBorders>
          </w:tcPr>
          <w:p>
            <w:pPr>
              <w:spacing w:line="260" w:lineRule="exact"/>
              <w:rPr>
                <w:sz w:val="18"/>
                <w:szCs w:val="18"/>
              </w:rPr>
            </w:pPr>
          </w:p>
        </w:tc>
      </w:tr>
    </w:tbl>
    <w:p>
      <w:pPr>
        <w:snapToGrid w:val="0"/>
        <w:ind w:left="-105" w:leftChars="-50" w:right="-105" w:rightChars="-50" w:firstLine="104" w:firstLineChars="58"/>
        <w:rPr>
          <w:sz w:val="18"/>
          <w:szCs w:val="18"/>
        </w:rPr>
      </w:pPr>
      <w:r>
        <w:rPr>
          <w:sz w:val="18"/>
          <w:szCs w:val="18"/>
        </w:rPr>
        <w:t>续表一</w:t>
      </w:r>
    </w:p>
    <w:tbl>
      <w:tblPr>
        <w:tblStyle w:val="25"/>
        <w:tblW w:w="9418"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79"/>
        <w:gridCol w:w="879"/>
        <w:gridCol w:w="880"/>
        <w:gridCol w:w="960"/>
        <w:gridCol w:w="960"/>
        <w:gridCol w:w="960"/>
        <w:gridCol w:w="960"/>
        <w:gridCol w:w="1155"/>
        <w:gridCol w:w="873"/>
        <w:gridCol w:w="91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79" w:type="dxa"/>
            <w:vAlign w:val="center"/>
          </w:tcPr>
          <w:p>
            <w:pPr>
              <w:spacing w:line="240" w:lineRule="exact"/>
              <w:ind w:left="-105" w:leftChars="-50" w:right="-105" w:rightChars="-50"/>
              <w:jc w:val="center"/>
              <w:rPr>
                <w:sz w:val="18"/>
                <w:szCs w:val="18"/>
              </w:rPr>
            </w:pPr>
            <w:r>
              <w:rPr>
                <w:sz w:val="18"/>
                <w:szCs w:val="18"/>
              </w:rPr>
              <w:t>煤制品  (万吨)</w:t>
            </w:r>
          </w:p>
        </w:tc>
        <w:tc>
          <w:tcPr>
            <w:tcW w:w="879" w:type="dxa"/>
            <w:vAlign w:val="center"/>
          </w:tcPr>
          <w:p>
            <w:pPr>
              <w:spacing w:line="240" w:lineRule="exact"/>
              <w:ind w:left="-105" w:leftChars="-50" w:right="-105" w:rightChars="-50"/>
              <w:jc w:val="center"/>
              <w:rPr>
                <w:sz w:val="18"/>
                <w:szCs w:val="18"/>
              </w:rPr>
            </w:pPr>
            <w:r>
              <w:rPr>
                <w:sz w:val="18"/>
                <w:szCs w:val="18"/>
              </w:rPr>
              <w:t>煤矸石            (万吨)</w:t>
            </w:r>
          </w:p>
        </w:tc>
        <w:tc>
          <w:tcPr>
            <w:tcW w:w="880" w:type="dxa"/>
            <w:vAlign w:val="center"/>
          </w:tcPr>
          <w:p>
            <w:pPr>
              <w:spacing w:line="240" w:lineRule="exact"/>
              <w:ind w:left="-105" w:leftChars="-50" w:right="-105" w:rightChars="-50"/>
              <w:jc w:val="center"/>
              <w:rPr>
                <w:sz w:val="18"/>
                <w:szCs w:val="18"/>
              </w:rPr>
            </w:pPr>
            <w:r>
              <w:rPr>
                <w:sz w:val="18"/>
                <w:szCs w:val="18"/>
              </w:rPr>
              <w:t>焦  炭           (万吨)</w:t>
            </w:r>
          </w:p>
        </w:tc>
        <w:tc>
          <w:tcPr>
            <w:tcW w:w="960" w:type="dxa"/>
            <w:vAlign w:val="center"/>
          </w:tcPr>
          <w:p>
            <w:pPr>
              <w:spacing w:line="240" w:lineRule="exact"/>
              <w:ind w:left="-105" w:leftChars="-50" w:right="-105" w:rightChars="-50"/>
              <w:jc w:val="center"/>
              <w:rPr>
                <w:sz w:val="18"/>
                <w:szCs w:val="18"/>
              </w:rPr>
            </w:pPr>
            <w:r>
              <w:rPr>
                <w:sz w:val="18"/>
                <w:szCs w:val="18"/>
              </w:rPr>
              <w:t xml:space="preserve">焦炉煤气 </w:t>
            </w:r>
          </w:p>
          <w:p>
            <w:pPr>
              <w:spacing w:line="240" w:lineRule="exact"/>
              <w:ind w:left="-105" w:leftChars="-50" w:right="-105" w:rightChars="-50"/>
              <w:jc w:val="center"/>
              <w:rPr>
                <w:sz w:val="18"/>
                <w:szCs w:val="18"/>
              </w:rPr>
            </w:pPr>
            <w:r>
              <w:rPr>
                <w:sz w:val="18"/>
                <w:szCs w:val="18"/>
              </w:rPr>
              <w:t>(亿立方米)</w:t>
            </w:r>
          </w:p>
        </w:tc>
        <w:tc>
          <w:tcPr>
            <w:tcW w:w="960" w:type="dxa"/>
            <w:vAlign w:val="center"/>
          </w:tcPr>
          <w:p>
            <w:pPr>
              <w:spacing w:line="240" w:lineRule="exact"/>
              <w:ind w:left="-105" w:leftChars="-50" w:right="-105" w:rightChars="-50"/>
              <w:jc w:val="center"/>
              <w:rPr>
                <w:sz w:val="18"/>
                <w:szCs w:val="18"/>
              </w:rPr>
            </w:pPr>
            <w:r>
              <w:rPr>
                <w:sz w:val="18"/>
                <w:szCs w:val="18"/>
              </w:rPr>
              <w:t>高炉煤气(亿立方米)</w:t>
            </w:r>
          </w:p>
        </w:tc>
        <w:tc>
          <w:tcPr>
            <w:tcW w:w="960" w:type="dxa"/>
            <w:vAlign w:val="center"/>
          </w:tcPr>
          <w:p>
            <w:pPr>
              <w:spacing w:line="240" w:lineRule="exact"/>
              <w:ind w:left="-105" w:leftChars="-50" w:right="-105" w:rightChars="-50"/>
              <w:jc w:val="center"/>
              <w:rPr>
                <w:sz w:val="18"/>
                <w:szCs w:val="18"/>
              </w:rPr>
            </w:pPr>
            <w:r>
              <w:rPr>
                <w:sz w:val="18"/>
                <w:szCs w:val="18"/>
              </w:rPr>
              <w:t>转炉煤气(亿立方米)</w:t>
            </w:r>
          </w:p>
        </w:tc>
        <w:tc>
          <w:tcPr>
            <w:tcW w:w="960" w:type="dxa"/>
            <w:vAlign w:val="center"/>
          </w:tcPr>
          <w:p>
            <w:pPr>
              <w:spacing w:line="240" w:lineRule="exact"/>
              <w:ind w:left="-105" w:leftChars="-50" w:right="-105" w:rightChars="-50"/>
              <w:jc w:val="center"/>
              <w:rPr>
                <w:sz w:val="18"/>
                <w:szCs w:val="18"/>
              </w:rPr>
            </w:pPr>
            <w:r>
              <w:rPr>
                <w:sz w:val="18"/>
                <w:szCs w:val="18"/>
              </w:rPr>
              <w:t>其他煤气(亿立方米)</w:t>
            </w:r>
          </w:p>
        </w:tc>
        <w:tc>
          <w:tcPr>
            <w:tcW w:w="1155" w:type="dxa"/>
            <w:vAlign w:val="center"/>
          </w:tcPr>
          <w:p>
            <w:pPr>
              <w:spacing w:line="240" w:lineRule="exact"/>
              <w:ind w:left="-105" w:leftChars="-50" w:right="-105" w:rightChars="-50"/>
              <w:jc w:val="center"/>
              <w:rPr>
                <w:sz w:val="18"/>
                <w:szCs w:val="18"/>
              </w:rPr>
            </w:pPr>
            <w:r>
              <w:rPr>
                <w:sz w:val="18"/>
                <w:szCs w:val="18"/>
              </w:rPr>
              <w:t>其他焦化产品        (万吨)</w:t>
            </w:r>
          </w:p>
        </w:tc>
        <w:tc>
          <w:tcPr>
            <w:tcW w:w="873" w:type="dxa"/>
            <w:vAlign w:val="center"/>
          </w:tcPr>
          <w:p>
            <w:pPr>
              <w:spacing w:line="240" w:lineRule="exact"/>
              <w:ind w:left="-105" w:leftChars="-50" w:right="-105" w:rightChars="-50"/>
              <w:jc w:val="center"/>
              <w:rPr>
                <w:sz w:val="18"/>
                <w:szCs w:val="18"/>
              </w:rPr>
            </w:pPr>
            <w:r>
              <w:rPr>
                <w:rFonts w:hint="eastAsia"/>
                <w:sz w:val="18"/>
                <w:szCs w:val="18"/>
              </w:rPr>
              <w:t>油品</w:t>
            </w:r>
            <w:r>
              <w:rPr>
                <w:sz w:val="18"/>
                <w:szCs w:val="18"/>
              </w:rPr>
              <w:t>合计(万吨)</w:t>
            </w:r>
          </w:p>
        </w:tc>
        <w:tc>
          <w:tcPr>
            <w:tcW w:w="912" w:type="dxa"/>
            <w:vAlign w:val="center"/>
          </w:tcPr>
          <w:p>
            <w:pPr>
              <w:spacing w:line="240" w:lineRule="exact"/>
              <w:ind w:left="-105" w:leftChars="-50" w:right="-105" w:rightChars="-50"/>
              <w:jc w:val="center"/>
              <w:rPr>
                <w:sz w:val="18"/>
                <w:szCs w:val="18"/>
              </w:rPr>
            </w:pPr>
            <w:r>
              <w:rPr>
                <w:sz w:val="18"/>
                <w:szCs w:val="18"/>
              </w:rPr>
              <w:t>原  油           (万吨)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5" w:hRule="atLeast"/>
          <w:jc w:val="center"/>
        </w:trPr>
        <w:tc>
          <w:tcPr>
            <w:tcW w:w="879" w:type="dxa"/>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9</w:t>
            </w:r>
          </w:p>
        </w:tc>
        <w:tc>
          <w:tcPr>
            <w:tcW w:w="879" w:type="dxa"/>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10</w:t>
            </w:r>
          </w:p>
        </w:tc>
        <w:tc>
          <w:tcPr>
            <w:tcW w:w="880" w:type="dxa"/>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11</w:t>
            </w:r>
          </w:p>
        </w:tc>
        <w:tc>
          <w:tcPr>
            <w:tcW w:w="960" w:type="dxa"/>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12</w:t>
            </w:r>
          </w:p>
        </w:tc>
        <w:tc>
          <w:tcPr>
            <w:tcW w:w="960" w:type="dxa"/>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13</w:t>
            </w:r>
          </w:p>
        </w:tc>
        <w:tc>
          <w:tcPr>
            <w:tcW w:w="960" w:type="dxa"/>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14</w:t>
            </w:r>
          </w:p>
        </w:tc>
        <w:tc>
          <w:tcPr>
            <w:tcW w:w="960" w:type="dxa"/>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15</w:t>
            </w:r>
          </w:p>
        </w:tc>
        <w:tc>
          <w:tcPr>
            <w:tcW w:w="1155" w:type="dxa"/>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16</w:t>
            </w:r>
          </w:p>
        </w:tc>
        <w:tc>
          <w:tcPr>
            <w:tcW w:w="873" w:type="dxa"/>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17</w:t>
            </w:r>
          </w:p>
        </w:tc>
        <w:tc>
          <w:tcPr>
            <w:tcW w:w="912" w:type="dxa"/>
            <w:vAlign w:val="center"/>
          </w:tcPr>
          <w:p>
            <w:pPr>
              <w:spacing w:line="240" w:lineRule="exact"/>
              <w:ind w:left="-105" w:leftChars="-50" w:right="-105" w:rightChars="-50"/>
              <w:jc w:val="center"/>
              <w:textAlignment w:val="center"/>
              <w:rPr>
                <w:rFonts w:ascii="宋体" w:hAnsi="宋体" w:cs="宋体"/>
                <w:sz w:val="18"/>
                <w:szCs w:val="18"/>
              </w:rPr>
            </w:pPr>
            <w:r>
              <w:rPr>
                <w:rFonts w:ascii="宋体" w:hAnsi="宋体" w:cs="宋体"/>
                <w:sz w:val="18"/>
                <w:szCs w:val="18"/>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9418" w:type="dxa"/>
            <w:gridSpan w:val="10"/>
            <w:vAlign w:val="center"/>
          </w:tcPr>
          <w:p>
            <w:pPr>
              <w:spacing w:line="240" w:lineRule="exact"/>
              <w:ind w:left="-105" w:leftChars="-50" w:right="-105" w:rightChars="-50"/>
              <w:jc w:val="center"/>
              <w:rPr>
                <w:sz w:val="18"/>
                <w:szCs w:val="18"/>
              </w:rPr>
            </w:pPr>
          </w:p>
        </w:tc>
      </w:tr>
    </w:tbl>
    <w:p>
      <w:pPr>
        <w:snapToGrid w:val="0"/>
        <w:ind w:left="-105" w:leftChars="-50" w:right="-105" w:rightChars="-50" w:firstLine="104" w:firstLineChars="58"/>
        <w:rPr>
          <w:sz w:val="18"/>
          <w:szCs w:val="18"/>
        </w:rPr>
      </w:pPr>
    </w:p>
    <w:p>
      <w:pPr>
        <w:snapToGrid w:val="0"/>
        <w:ind w:left="-105" w:leftChars="-50" w:right="-105" w:rightChars="-50" w:firstLine="104" w:firstLineChars="58"/>
        <w:rPr>
          <w:sz w:val="18"/>
          <w:szCs w:val="18"/>
        </w:rPr>
      </w:pPr>
      <w:r>
        <w:rPr>
          <w:sz w:val="18"/>
          <w:szCs w:val="18"/>
        </w:rPr>
        <w:t>续表二</w:t>
      </w:r>
    </w:p>
    <w:tbl>
      <w:tblPr>
        <w:tblStyle w:val="25"/>
        <w:tblW w:w="942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47"/>
        <w:gridCol w:w="848"/>
        <w:gridCol w:w="848"/>
        <w:gridCol w:w="848"/>
        <w:gridCol w:w="848"/>
        <w:gridCol w:w="848"/>
        <w:gridCol w:w="848"/>
        <w:gridCol w:w="848"/>
        <w:gridCol w:w="848"/>
        <w:gridCol w:w="848"/>
        <w:gridCol w:w="9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47" w:type="dxa"/>
            <w:vAlign w:val="center"/>
          </w:tcPr>
          <w:p>
            <w:pPr>
              <w:spacing w:line="240" w:lineRule="exact"/>
              <w:ind w:left="-105" w:leftChars="-50" w:right="-105" w:rightChars="-50"/>
              <w:jc w:val="center"/>
              <w:rPr>
                <w:sz w:val="18"/>
                <w:szCs w:val="18"/>
              </w:rPr>
            </w:pPr>
            <w:r>
              <w:rPr>
                <w:sz w:val="18"/>
                <w:szCs w:val="18"/>
              </w:rPr>
              <w:t>汽  油       (万吨)</w:t>
            </w:r>
          </w:p>
        </w:tc>
        <w:tc>
          <w:tcPr>
            <w:tcW w:w="848" w:type="dxa"/>
            <w:vAlign w:val="center"/>
          </w:tcPr>
          <w:p>
            <w:pPr>
              <w:spacing w:line="240" w:lineRule="exact"/>
              <w:ind w:left="-105" w:leftChars="-50" w:right="-105" w:rightChars="-50"/>
              <w:jc w:val="center"/>
              <w:rPr>
                <w:sz w:val="18"/>
                <w:szCs w:val="18"/>
              </w:rPr>
            </w:pPr>
            <w:r>
              <w:rPr>
                <w:sz w:val="18"/>
                <w:szCs w:val="18"/>
              </w:rPr>
              <w:t>煤  油          (万吨)</w:t>
            </w:r>
          </w:p>
        </w:tc>
        <w:tc>
          <w:tcPr>
            <w:tcW w:w="848" w:type="dxa"/>
            <w:vAlign w:val="center"/>
          </w:tcPr>
          <w:p>
            <w:pPr>
              <w:spacing w:line="240" w:lineRule="exact"/>
              <w:ind w:left="-105" w:leftChars="-50" w:right="-105" w:rightChars="-50"/>
              <w:jc w:val="center"/>
              <w:rPr>
                <w:sz w:val="18"/>
                <w:szCs w:val="18"/>
              </w:rPr>
            </w:pPr>
            <w:r>
              <w:rPr>
                <w:sz w:val="18"/>
                <w:szCs w:val="18"/>
              </w:rPr>
              <w:t>柴  油          (万吨)</w:t>
            </w:r>
          </w:p>
        </w:tc>
        <w:tc>
          <w:tcPr>
            <w:tcW w:w="848" w:type="dxa"/>
            <w:vAlign w:val="center"/>
          </w:tcPr>
          <w:p>
            <w:pPr>
              <w:spacing w:line="240" w:lineRule="exact"/>
              <w:ind w:left="-105" w:leftChars="-50" w:right="-105" w:rightChars="-50"/>
              <w:jc w:val="center"/>
              <w:rPr>
                <w:sz w:val="18"/>
                <w:szCs w:val="18"/>
              </w:rPr>
            </w:pPr>
            <w:r>
              <w:rPr>
                <w:sz w:val="18"/>
                <w:szCs w:val="18"/>
              </w:rPr>
              <w:t>燃料油   (万吨)</w:t>
            </w:r>
          </w:p>
        </w:tc>
        <w:tc>
          <w:tcPr>
            <w:tcW w:w="848" w:type="dxa"/>
            <w:vAlign w:val="center"/>
          </w:tcPr>
          <w:p>
            <w:pPr>
              <w:spacing w:line="240" w:lineRule="exact"/>
              <w:ind w:left="-105" w:leftChars="-50" w:right="-105" w:rightChars="-50"/>
              <w:jc w:val="center"/>
              <w:rPr>
                <w:sz w:val="18"/>
                <w:szCs w:val="18"/>
              </w:rPr>
            </w:pPr>
            <w:r>
              <w:rPr>
                <w:sz w:val="18"/>
                <w:szCs w:val="18"/>
              </w:rPr>
              <w:t>石脑油  (万吨)</w:t>
            </w:r>
          </w:p>
        </w:tc>
        <w:tc>
          <w:tcPr>
            <w:tcW w:w="848" w:type="dxa"/>
            <w:vAlign w:val="center"/>
          </w:tcPr>
          <w:p>
            <w:pPr>
              <w:spacing w:line="240" w:lineRule="exact"/>
              <w:ind w:left="-105" w:leftChars="-50" w:right="-105" w:rightChars="-50"/>
              <w:jc w:val="center"/>
              <w:rPr>
                <w:sz w:val="18"/>
                <w:szCs w:val="18"/>
              </w:rPr>
            </w:pPr>
            <w:r>
              <w:rPr>
                <w:sz w:val="18"/>
                <w:szCs w:val="18"/>
              </w:rPr>
              <w:t>润滑油  (万吨)</w:t>
            </w:r>
          </w:p>
        </w:tc>
        <w:tc>
          <w:tcPr>
            <w:tcW w:w="848" w:type="dxa"/>
            <w:vAlign w:val="center"/>
          </w:tcPr>
          <w:p>
            <w:pPr>
              <w:spacing w:line="240" w:lineRule="exact"/>
              <w:ind w:left="-105" w:leftChars="-50" w:right="-105" w:rightChars="-50"/>
              <w:jc w:val="center"/>
              <w:rPr>
                <w:sz w:val="18"/>
                <w:szCs w:val="18"/>
              </w:rPr>
            </w:pPr>
            <w:r>
              <w:rPr>
                <w:sz w:val="18"/>
                <w:szCs w:val="18"/>
              </w:rPr>
              <w:t>石  蜡          (万吨)</w:t>
            </w:r>
          </w:p>
        </w:tc>
        <w:tc>
          <w:tcPr>
            <w:tcW w:w="848" w:type="dxa"/>
            <w:tcBorders>
              <w:top w:val="single" w:color="auto" w:sz="8" w:space="0"/>
              <w:bottom w:val="single" w:color="auto" w:sz="2" w:space="0"/>
              <w:right w:val="single" w:color="auto" w:sz="2" w:space="0"/>
            </w:tcBorders>
            <w:vAlign w:val="center"/>
          </w:tcPr>
          <w:p>
            <w:pPr>
              <w:spacing w:line="240" w:lineRule="exact"/>
              <w:ind w:left="-105" w:leftChars="-50" w:right="-105" w:rightChars="-50"/>
              <w:jc w:val="center"/>
              <w:rPr>
                <w:sz w:val="18"/>
                <w:szCs w:val="18"/>
              </w:rPr>
            </w:pPr>
            <w:r>
              <w:rPr>
                <w:sz w:val="18"/>
                <w:szCs w:val="18"/>
              </w:rPr>
              <w:t>溶剂油</w:t>
            </w:r>
          </w:p>
          <w:p>
            <w:pPr>
              <w:spacing w:line="240" w:lineRule="exact"/>
              <w:ind w:left="-105" w:leftChars="-50" w:right="-105" w:rightChars="-50"/>
              <w:jc w:val="center"/>
              <w:rPr>
                <w:sz w:val="18"/>
                <w:szCs w:val="18"/>
              </w:rPr>
            </w:pPr>
            <w:r>
              <w:rPr>
                <w:sz w:val="18"/>
                <w:szCs w:val="18"/>
              </w:rPr>
              <w:t>(万吨)</w:t>
            </w:r>
          </w:p>
        </w:tc>
        <w:tc>
          <w:tcPr>
            <w:tcW w:w="848" w:type="dxa"/>
            <w:tcBorders>
              <w:top w:val="single" w:color="auto" w:sz="8" w:space="0"/>
              <w:left w:val="single" w:color="auto" w:sz="2" w:space="0"/>
              <w:bottom w:val="single" w:color="auto" w:sz="2" w:space="0"/>
            </w:tcBorders>
            <w:vAlign w:val="center"/>
          </w:tcPr>
          <w:p>
            <w:pPr>
              <w:spacing w:line="240" w:lineRule="exact"/>
              <w:ind w:left="-94" w:leftChars="-45" w:right="-105" w:rightChars="-50"/>
              <w:jc w:val="center"/>
              <w:rPr>
                <w:sz w:val="18"/>
                <w:szCs w:val="18"/>
              </w:rPr>
            </w:pPr>
            <w:r>
              <w:rPr>
                <w:sz w:val="18"/>
                <w:szCs w:val="18"/>
              </w:rPr>
              <w:t>石油沥青 (万吨)</w:t>
            </w:r>
          </w:p>
        </w:tc>
        <w:tc>
          <w:tcPr>
            <w:tcW w:w="848" w:type="dxa"/>
            <w:vAlign w:val="center"/>
          </w:tcPr>
          <w:p>
            <w:pPr>
              <w:spacing w:line="240" w:lineRule="exact"/>
              <w:ind w:left="-105" w:leftChars="-50" w:right="-105" w:rightChars="-50"/>
              <w:jc w:val="center"/>
              <w:rPr>
                <w:sz w:val="18"/>
                <w:szCs w:val="18"/>
              </w:rPr>
            </w:pPr>
            <w:r>
              <w:rPr>
                <w:sz w:val="18"/>
                <w:szCs w:val="18"/>
              </w:rPr>
              <w:t>石油焦  (万吨)</w:t>
            </w:r>
          </w:p>
        </w:tc>
        <w:tc>
          <w:tcPr>
            <w:tcW w:w="945" w:type="dxa"/>
            <w:vAlign w:val="center"/>
          </w:tcPr>
          <w:p>
            <w:pPr>
              <w:spacing w:line="240" w:lineRule="exact"/>
              <w:ind w:left="-210" w:leftChars="-100" w:right="-210" w:rightChars="-100"/>
              <w:jc w:val="center"/>
              <w:rPr>
                <w:sz w:val="18"/>
                <w:szCs w:val="18"/>
              </w:rPr>
            </w:pPr>
            <w:r>
              <w:rPr>
                <w:sz w:val="18"/>
                <w:szCs w:val="18"/>
              </w:rPr>
              <w:t>液化石油气           (万吨)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5" w:hRule="atLeast"/>
          <w:jc w:val="center"/>
        </w:trPr>
        <w:tc>
          <w:tcPr>
            <w:tcW w:w="847"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19</w:t>
            </w:r>
          </w:p>
        </w:tc>
        <w:tc>
          <w:tcPr>
            <w:tcW w:w="848"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20</w:t>
            </w:r>
          </w:p>
        </w:tc>
        <w:tc>
          <w:tcPr>
            <w:tcW w:w="848"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21</w:t>
            </w:r>
          </w:p>
        </w:tc>
        <w:tc>
          <w:tcPr>
            <w:tcW w:w="848"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22</w:t>
            </w:r>
          </w:p>
        </w:tc>
        <w:tc>
          <w:tcPr>
            <w:tcW w:w="848"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23</w:t>
            </w:r>
          </w:p>
        </w:tc>
        <w:tc>
          <w:tcPr>
            <w:tcW w:w="848"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24</w:t>
            </w:r>
          </w:p>
        </w:tc>
        <w:tc>
          <w:tcPr>
            <w:tcW w:w="848"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25</w:t>
            </w:r>
          </w:p>
        </w:tc>
        <w:tc>
          <w:tcPr>
            <w:tcW w:w="848" w:type="dxa"/>
            <w:tcBorders>
              <w:top w:val="single" w:color="auto" w:sz="2" w:space="0"/>
              <w:bottom w:val="single" w:color="auto" w:sz="2" w:space="0"/>
              <w:right w:val="single" w:color="auto" w:sz="2" w:space="0"/>
            </w:tcBorders>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26</w:t>
            </w:r>
          </w:p>
        </w:tc>
        <w:tc>
          <w:tcPr>
            <w:tcW w:w="848" w:type="dxa"/>
            <w:tcBorders>
              <w:top w:val="single" w:color="auto" w:sz="2" w:space="0"/>
              <w:left w:val="single" w:color="auto" w:sz="2" w:space="0"/>
              <w:bottom w:val="single" w:color="auto" w:sz="2" w:space="0"/>
            </w:tcBorders>
            <w:vAlign w:val="center"/>
          </w:tcPr>
          <w:p>
            <w:pPr>
              <w:spacing w:line="240" w:lineRule="exact"/>
              <w:ind w:right="-105" w:rightChars="-50"/>
              <w:jc w:val="center"/>
              <w:rPr>
                <w:rFonts w:ascii="宋体" w:hAnsi="宋体" w:cs="宋体"/>
                <w:sz w:val="18"/>
                <w:szCs w:val="18"/>
              </w:rPr>
            </w:pPr>
            <w:r>
              <w:rPr>
                <w:rFonts w:ascii="宋体" w:hAnsi="宋体" w:cs="宋体"/>
                <w:sz w:val="18"/>
                <w:szCs w:val="18"/>
              </w:rPr>
              <w:t>27</w:t>
            </w:r>
          </w:p>
        </w:tc>
        <w:tc>
          <w:tcPr>
            <w:tcW w:w="848"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28</w:t>
            </w:r>
          </w:p>
        </w:tc>
        <w:tc>
          <w:tcPr>
            <w:tcW w:w="945" w:type="dxa"/>
            <w:vAlign w:val="center"/>
          </w:tcPr>
          <w:p>
            <w:pPr>
              <w:spacing w:line="240" w:lineRule="exact"/>
              <w:ind w:left="-210" w:leftChars="-100" w:right="-210" w:rightChars="-100"/>
              <w:jc w:val="center"/>
              <w:rPr>
                <w:rFonts w:ascii="宋体" w:hAnsi="宋体" w:cs="宋体"/>
                <w:sz w:val="18"/>
                <w:szCs w:val="18"/>
              </w:rPr>
            </w:pPr>
            <w:r>
              <w:rPr>
                <w:rFonts w:ascii="宋体" w:hAnsi="宋体" w:cs="宋体"/>
                <w:sz w:val="18"/>
                <w:szCs w:val="18"/>
              </w:rPr>
              <w:t>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9424" w:type="dxa"/>
            <w:gridSpan w:val="11"/>
            <w:vAlign w:val="center"/>
          </w:tcPr>
          <w:p>
            <w:pPr>
              <w:spacing w:line="240" w:lineRule="exact"/>
              <w:ind w:left="-210" w:leftChars="-100" w:right="-210" w:rightChars="-100"/>
              <w:jc w:val="center"/>
              <w:rPr>
                <w:sz w:val="18"/>
                <w:szCs w:val="18"/>
              </w:rPr>
            </w:pPr>
          </w:p>
        </w:tc>
      </w:tr>
    </w:tbl>
    <w:p>
      <w:pPr>
        <w:snapToGrid w:val="0"/>
        <w:ind w:left="-105" w:leftChars="-50" w:right="-105" w:rightChars="-50" w:firstLine="104" w:firstLineChars="58"/>
        <w:rPr>
          <w:sz w:val="18"/>
          <w:szCs w:val="18"/>
        </w:rPr>
      </w:pPr>
    </w:p>
    <w:p>
      <w:pPr>
        <w:snapToGrid w:val="0"/>
        <w:ind w:left="-105" w:leftChars="-50" w:right="-105" w:rightChars="-50" w:firstLine="104" w:firstLineChars="58"/>
        <w:rPr>
          <w:sz w:val="18"/>
          <w:szCs w:val="18"/>
        </w:rPr>
      </w:pPr>
      <w:r>
        <w:rPr>
          <w:sz w:val="18"/>
          <w:szCs w:val="18"/>
        </w:rPr>
        <w:t>续表三</w:t>
      </w:r>
    </w:p>
    <w:tbl>
      <w:tblPr>
        <w:tblStyle w:val="25"/>
        <w:tblW w:w="944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53"/>
        <w:gridCol w:w="1260"/>
        <w:gridCol w:w="945"/>
        <w:gridCol w:w="945"/>
        <w:gridCol w:w="724"/>
        <w:gridCol w:w="727"/>
        <w:gridCol w:w="1050"/>
        <w:gridCol w:w="1113"/>
        <w:gridCol w:w="966"/>
        <w:gridCol w:w="96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753" w:type="dxa"/>
            <w:vAlign w:val="center"/>
          </w:tcPr>
          <w:p>
            <w:pPr>
              <w:spacing w:line="240" w:lineRule="exact"/>
              <w:ind w:left="-105" w:leftChars="-50" w:right="-105" w:rightChars="-50"/>
              <w:jc w:val="center"/>
              <w:rPr>
                <w:sz w:val="18"/>
                <w:szCs w:val="18"/>
              </w:rPr>
            </w:pPr>
            <w:r>
              <w:rPr>
                <w:sz w:val="18"/>
                <w:szCs w:val="18"/>
              </w:rPr>
              <w:t>炼厂干气          (万吨)</w:t>
            </w:r>
          </w:p>
        </w:tc>
        <w:tc>
          <w:tcPr>
            <w:tcW w:w="1260" w:type="dxa"/>
            <w:vAlign w:val="center"/>
          </w:tcPr>
          <w:p>
            <w:pPr>
              <w:spacing w:line="240" w:lineRule="exact"/>
              <w:ind w:left="-210" w:leftChars="-100" w:right="-210" w:rightChars="-100"/>
              <w:jc w:val="center"/>
              <w:rPr>
                <w:sz w:val="18"/>
                <w:szCs w:val="18"/>
              </w:rPr>
            </w:pPr>
            <w:r>
              <w:rPr>
                <w:sz w:val="18"/>
                <w:szCs w:val="18"/>
              </w:rPr>
              <w:t>其他石油制品</w:t>
            </w:r>
          </w:p>
          <w:p>
            <w:pPr>
              <w:spacing w:line="240" w:lineRule="exact"/>
              <w:ind w:left="-210" w:leftChars="-100" w:right="-210" w:rightChars="-100"/>
              <w:jc w:val="center"/>
              <w:rPr>
                <w:sz w:val="18"/>
                <w:szCs w:val="18"/>
              </w:rPr>
            </w:pPr>
            <w:r>
              <w:rPr>
                <w:sz w:val="18"/>
                <w:szCs w:val="18"/>
              </w:rPr>
              <w:t>(万吨)</w:t>
            </w:r>
          </w:p>
        </w:tc>
        <w:tc>
          <w:tcPr>
            <w:tcW w:w="945" w:type="dxa"/>
            <w:vAlign w:val="center"/>
          </w:tcPr>
          <w:p>
            <w:pPr>
              <w:spacing w:line="240" w:lineRule="exact"/>
              <w:ind w:left="-105" w:leftChars="-50" w:right="-105" w:rightChars="-50"/>
              <w:jc w:val="center"/>
              <w:rPr>
                <w:sz w:val="18"/>
                <w:szCs w:val="18"/>
              </w:rPr>
            </w:pPr>
            <w:r>
              <w:rPr>
                <w:sz w:val="18"/>
                <w:szCs w:val="18"/>
              </w:rPr>
              <w:t>天然气</w:t>
            </w:r>
          </w:p>
          <w:p>
            <w:pPr>
              <w:spacing w:line="240" w:lineRule="exact"/>
              <w:ind w:left="-105" w:leftChars="-50" w:right="-105" w:rightChars="-50"/>
              <w:jc w:val="center"/>
              <w:rPr>
                <w:sz w:val="18"/>
                <w:szCs w:val="18"/>
              </w:rPr>
            </w:pPr>
            <w:r>
              <w:rPr>
                <w:sz w:val="18"/>
                <w:szCs w:val="18"/>
              </w:rPr>
              <w:t>(亿立方米)</w:t>
            </w:r>
          </w:p>
        </w:tc>
        <w:tc>
          <w:tcPr>
            <w:tcW w:w="945" w:type="dxa"/>
            <w:vAlign w:val="center"/>
          </w:tcPr>
          <w:p>
            <w:pPr>
              <w:spacing w:line="240" w:lineRule="exact"/>
              <w:ind w:left="-105" w:leftChars="-50" w:right="-105" w:rightChars="-50"/>
              <w:jc w:val="center"/>
              <w:rPr>
                <w:sz w:val="18"/>
                <w:szCs w:val="18"/>
              </w:rPr>
            </w:pPr>
            <w:r>
              <w:rPr>
                <w:sz w:val="18"/>
                <w:szCs w:val="18"/>
              </w:rPr>
              <w:t>液化天然气  (万吨)</w:t>
            </w:r>
          </w:p>
        </w:tc>
        <w:tc>
          <w:tcPr>
            <w:tcW w:w="724" w:type="dxa"/>
            <w:vAlign w:val="center"/>
          </w:tcPr>
          <w:p>
            <w:pPr>
              <w:spacing w:line="240" w:lineRule="exact"/>
              <w:ind w:left="-105" w:leftChars="-50" w:right="-105" w:rightChars="-50"/>
              <w:jc w:val="center"/>
              <w:rPr>
                <w:sz w:val="18"/>
                <w:szCs w:val="18"/>
              </w:rPr>
            </w:pPr>
            <w:r>
              <w:rPr>
                <w:sz w:val="18"/>
                <w:szCs w:val="18"/>
              </w:rPr>
              <w:t>秸  秆            (万吨)</w:t>
            </w:r>
          </w:p>
        </w:tc>
        <w:tc>
          <w:tcPr>
            <w:tcW w:w="727" w:type="dxa"/>
            <w:vAlign w:val="center"/>
          </w:tcPr>
          <w:p>
            <w:pPr>
              <w:spacing w:line="240" w:lineRule="exact"/>
              <w:ind w:left="-105" w:leftChars="-50" w:right="-105" w:rightChars="-50"/>
              <w:jc w:val="center"/>
              <w:rPr>
                <w:sz w:val="18"/>
                <w:szCs w:val="18"/>
              </w:rPr>
            </w:pPr>
            <w:r>
              <w:rPr>
                <w:sz w:val="18"/>
                <w:szCs w:val="18"/>
              </w:rPr>
              <w:t>薪  柴           (万吨)</w:t>
            </w:r>
          </w:p>
        </w:tc>
        <w:tc>
          <w:tcPr>
            <w:tcW w:w="1050" w:type="dxa"/>
            <w:vAlign w:val="center"/>
          </w:tcPr>
          <w:p>
            <w:pPr>
              <w:spacing w:line="240" w:lineRule="exact"/>
              <w:ind w:left="-105" w:leftChars="-50" w:right="-105" w:rightChars="-50"/>
              <w:jc w:val="center"/>
              <w:rPr>
                <w:sz w:val="18"/>
                <w:szCs w:val="18"/>
              </w:rPr>
            </w:pPr>
            <w:r>
              <w:rPr>
                <w:sz w:val="18"/>
                <w:szCs w:val="18"/>
              </w:rPr>
              <w:t>沼  气          (亿立方米)</w:t>
            </w:r>
          </w:p>
        </w:tc>
        <w:tc>
          <w:tcPr>
            <w:tcW w:w="1113" w:type="dxa"/>
            <w:vAlign w:val="center"/>
          </w:tcPr>
          <w:p>
            <w:pPr>
              <w:spacing w:line="240" w:lineRule="exact"/>
              <w:ind w:left="-105" w:leftChars="-50" w:right="-105" w:rightChars="-50"/>
              <w:jc w:val="center"/>
              <w:rPr>
                <w:sz w:val="18"/>
                <w:szCs w:val="18"/>
              </w:rPr>
            </w:pPr>
            <w:r>
              <w:rPr>
                <w:sz w:val="18"/>
                <w:szCs w:val="18"/>
              </w:rPr>
              <w:t>热  力             (万百万千焦)</w:t>
            </w:r>
          </w:p>
        </w:tc>
        <w:tc>
          <w:tcPr>
            <w:tcW w:w="966" w:type="dxa"/>
            <w:vAlign w:val="center"/>
          </w:tcPr>
          <w:p>
            <w:pPr>
              <w:spacing w:line="240" w:lineRule="exact"/>
              <w:ind w:left="-105" w:leftChars="-50" w:right="-105" w:rightChars="-50"/>
              <w:jc w:val="center"/>
              <w:rPr>
                <w:sz w:val="18"/>
                <w:szCs w:val="18"/>
              </w:rPr>
            </w:pPr>
            <w:r>
              <w:rPr>
                <w:sz w:val="18"/>
                <w:szCs w:val="18"/>
              </w:rPr>
              <w:t>电  力           (亿千瓦时)</w:t>
            </w:r>
          </w:p>
        </w:tc>
        <w:tc>
          <w:tcPr>
            <w:tcW w:w="966" w:type="dxa"/>
            <w:vAlign w:val="center"/>
          </w:tcPr>
          <w:p>
            <w:pPr>
              <w:spacing w:line="240" w:lineRule="exact"/>
              <w:ind w:left="-105" w:leftChars="-50" w:right="-105" w:rightChars="-50"/>
              <w:jc w:val="center"/>
              <w:rPr>
                <w:sz w:val="18"/>
                <w:szCs w:val="18"/>
              </w:rPr>
            </w:pPr>
            <w:r>
              <w:rPr>
                <w:sz w:val="18"/>
                <w:szCs w:val="18"/>
              </w:rPr>
              <w:t xml:space="preserve">其他能源 </w:t>
            </w:r>
          </w:p>
          <w:p>
            <w:pPr>
              <w:spacing w:line="240" w:lineRule="exact"/>
              <w:ind w:left="-105" w:leftChars="-50" w:right="-105" w:rightChars="-50"/>
              <w:jc w:val="center"/>
              <w:rPr>
                <w:sz w:val="18"/>
                <w:szCs w:val="18"/>
              </w:rPr>
            </w:pPr>
            <w:r>
              <w:rPr>
                <w:sz w:val="18"/>
                <w:szCs w:val="18"/>
              </w:rPr>
              <w:t>(万吨标煤)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5" w:hRule="atLeast"/>
          <w:jc w:val="center"/>
        </w:trPr>
        <w:tc>
          <w:tcPr>
            <w:tcW w:w="753"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30</w:t>
            </w:r>
          </w:p>
        </w:tc>
        <w:tc>
          <w:tcPr>
            <w:tcW w:w="1260" w:type="dxa"/>
            <w:vAlign w:val="center"/>
          </w:tcPr>
          <w:p>
            <w:pPr>
              <w:spacing w:line="240" w:lineRule="exact"/>
              <w:ind w:left="-210" w:leftChars="-100" w:right="-210" w:rightChars="-100"/>
              <w:jc w:val="center"/>
              <w:rPr>
                <w:rFonts w:ascii="宋体" w:hAnsi="宋体" w:cs="宋体"/>
                <w:sz w:val="18"/>
                <w:szCs w:val="18"/>
              </w:rPr>
            </w:pPr>
            <w:r>
              <w:rPr>
                <w:rFonts w:ascii="宋体" w:hAnsi="宋体" w:cs="宋体"/>
                <w:sz w:val="18"/>
                <w:szCs w:val="18"/>
              </w:rPr>
              <w:t>31</w:t>
            </w:r>
          </w:p>
        </w:tc>
        <w:tc>
          <w:tcPr>
            <w:tcW w:w="945"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32</w:t>
            </w:r>
          </w:p>
        </w:tc>
        <w:tc>
          <w:tcPr>
            <w:tcW w:w="945"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33</w:t>
            </w:r>
          </w:p>
        </w:tc>
        <w:tc>
          <w:tcPr>
            <w:tcW w:w="724"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34</w:t>
            </w:r>
          </w:p>
        </w:tc>
        <w:tc>
          <w:tcPr>
            <w:tcW w:w="727"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35</w:t>
            </w:r>
          </w:p>
        </w:tc>
        <w:tc>
          <w:tcPr>
            <w:tcW w:w="1050"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36</w:t>
            </w:r>
          </w:p>
        </w:tc>
        <w:tc>
          <w:tcPr>
            <w:tcW w:w="1113"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37</w:t>
            </w:r>
          </w:p>
        </w:tc>
        <w:tc>
          <w:tcPr>
            <w:tcW w:w="966"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38</w:t>
            </w:r>
          </w:p>
        </w:tc>
        <w:tc>
          <w:tcPr>
            <w:tcW w:w="966" w:type="dxa"/>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39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9449" w:type="dxa"/>
            <w:gridSpan w:val="10"/>
            <w:vAlign w:val="center"/>
          </w:tcPr>
          <w:p>
            <w:pPr>
              <w:spacing w:line="240" w:lineRule="exact"/>
              <w:ind w:left="-105" w:leftChars="-50" w:right="-105" w:rightChars="-50"/>
              <w:jc w:val="center"/>
              <w:rPr>
                <w:sz w:val="18"/>
                <w:szCs w:val="18"/>
              </w:rPr>
            </w:pPr>
          </w:p>
        </w:tc>
      </w:tr>
    </w:tbl>
    <w:p>
      <w:pPr>
        <w:snapToGrid w:val="0"/>
        <w:ind w:right="-21" w:rightChars="-10"/>
        <w:rPr>
          <w:sz w:val="18"/>
          <w:szCs w:val="18"/>
        </w:rPr>
      </w:pPr>
    </w:p>
    <w:p>
      <w:pPr>
        <w:snapToGrid w:val="0"/>
        <w:ind w:right="-21" w:rightChars="-10"/>
        <w:rPr>
          <w:sz w:val="18"/>
          <w:szCs w:val="18"/>
        </w:rPr>
      </w:pPr>
      <w:r>
        <w:rPr>
          <w:sz w:val="18"/>
          <w:szCs w:val="18"/>
        </w:rPr>
        <w:t xml:space="preserve">补充资料一：电力产量                                                  　               计量单位：亿千瓦时                                        </w:t>
      </w:r>
    </w:p>
    <w:tbl>
      <w:tblPr>
        <w:tblStyle w:val="25"/>
        <w:tblW w:w="942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42"/>
        <w:gridCol w:w="1043"/>
        <w:gridCol w:w="1042"/>
        <w:gridCol w:w="1043"/>
        <w:gridCol w:w="1043"/>
        <w:gridCol w:w="1042"/>
        <w:gridCol w:w="1043"/>
        <w:gridCol w:w="10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0" w:type="dxa"/>
            <w:tcBorders>
              <w:top w:val="single" w:color="auto" w:sz="8" w:space="0"/>
              <w:bottom w:val="single" w:color="auto" w:sz="2" w:space="0"/>
              <w:right w:val="single" w:color="auto" w:sz="2" w:space="0"/>
            </w:tcBorders>
            <w:vAlign w:val="center"/>
          </w:tcPr>
          <w:p>
            <w:pPr>
              <w:spacing w:line="240" w:lineRule="exact"/>
              <w:jc w:val="center"/>
              <w:rPr>
                <w:sz w:val="18"/>
                <w:szCs w:val="18"/>
              </w:rPr>
            </w:pPr>
          </w:p>
        </w:tc>
        <w:tc>
          <w:tcPr>
            <w:tcW w:w="1042"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合  计</w:t>
            </w:r>
          </w:p>
        </w:tc>
        <w:tc>
          <w:tcPr>
            <w:tcW w:w="1043"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太阳能          热发电</w:t>
            </w:r>
          </w:p>
        </w:tc>
        <w:tc>
          <w:tcPr>
            <w:tcW w:w="1042"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太阳能  光伏发电</w:t>
            </w:r>
          </w:p>
        </w:tc>
        <w:tc>
          <w:tcPr>
            <w:tcW w:w="1043"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风  电</w:t>
            </w:r>
          </w:p>
        </w:tc>
        <w:tc>
          <w:tcPr>
            <w:tcW w:w="1043"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核  电</w:t>
            </w:r>
          </w:p>
        </w:tc>
        <w:tc>
          <w:tcPr>
            <w:tcW w:w="1042"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水  电</w:t>
            </w:r>
          </w:p>
        </w:tc>
        <w:tc>
          <w:tcPr>
            <w:tcW w:w="1043" w:type="dxa"/>
            <w:tcBorders>
              <w:top w:val="single" w:color="auto" w:sz="8" w:space="0"/>
              <w:left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其    他          能源发电</w:t>
            </w:r>
          </w:p>
        </w:tc>
        <w:tc>
          <w:tcPr>
            <w:tcW w:w="1043" w:type="dxa"/>
            <w:tcBorders>
              <w:top w:val="single" w:color="auto" w:sz="8" w:space="0"/>
              <w:left w:val="single" w:color="auto" w:sz="2" w:space="0"/>
              <w:bottom w:val="single" w:color="auto" w:sz="2" w:space="0"/>
            </w:tcBorders>
            <w:vAlign w:val="center"/>
          </w:tcPr>
          <w:p>
            <w:pPr>
              <w:spacing w:line="240" w:lineRule="exact"/>
              <w:jc w:val="center"/>
              <w:rPr>
                <w:sz w:val="18"/>
                <w:szCs w:val="18"/>
              </w:rPr>
            </w:pPr>
            <w:r>
              <w:rPr>
                <w:sz w:val="18"/>
                <w:szCs w:val="18"/>
              </w:rPr>
              <w:t>火  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80" w:type="dxa"/>
            <w:tcBorders>
              <w:top w:val="single" w:color="auto" w:sz="2" w:space="0"/>
              <w:bottom w:val="single" w:color="auto" w:sz="2" w:space="0"/>
              <w:right w:val="single" w:color="auto" w:sz="2" w:space="0"/>
            </w:tcBorders>
            <w:vAlign w:val="center"/>
          </w:tcPr>
          <w:p>
            <w:pPr>
              <w:spacing w:line="240" w:lineRule="exact"/>
              <w:jc w:val="center"/>
              <w:rPr>
                <w:sz w:val="18"/>
                <w:szCs w:val="18"/>
              </w:rPr>
            </w:pPr>
            <w:r>
              <w:rPr>
                <w:sz w:val="18"/>
                <w:szCs w:val="18"/>
              </w:rPr>
              <w:t>甲</w:t>
            </w:r>
          </w:p>
        </w:tc>
        <w:tc>
          <w:tcPr>
            <w:tcW w:w="104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rFonts w:ascii="宋体" w:hAnsi="宋体" w:cs="宋体"/>
                <w:sz w:val="18"/>
                <w:szCs w:val="18"/>
              </w:rPr>
            </w:pPr>
            <w:r>
              <w:rPr>
                <w:rFonts w:ascii="宋体" w:hAnsi="宋体" w:cs="宋体"/>
                <w:sz w:val="18"/>
                <w:szCs w:val="18"/>
              </w:rPr>
              <w:t>1</w:t>
            </w:r>
          </w:p>
        </w:tc>
        <w:tc>
          <w:tcPr>
            <w:tcW w:w="104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rFonts w:ascii="宋体" w:hAnsi="宋体" w:cs="宋体"/>
                <w:sz w:val="18"/>
                <w:szCs w:val="18"/>
              </w:rPr>
            </w:pPr>
            <w:r>
              <w:rPr>
                <w:rFonts w:ascii="宋体" w:hAnsi="宋体" w:cs="宋体"/>
                <w:sz w:val="18"/>
                <w:szCs w:val="18"/>
              </w:rPr>
              <w:t>2</w:t>
            </w:r>
          </w:p>
        </w:tc>
        <w:tc>
          <w:tcPr>
            <w:tcW w:w="104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rFonts w:ascii="宋体" w:hAnsi="宋体" w:cs="宋体"/>
                <w:sz w:val="18"/>
                <w:szCs w:val="18"/>
              </w:rPr>
            </w:pPr>
            <w:r>
              <w:rPr>
                <w:rFonts w:ascii="宋体" w:hAnsi="宋体" w:cs="宋体"/>
                <w:sz w:val="18"/>
                <w:szCs w:val="18"/>
              </w:rPr>
              <w:t>3</w:t>
            </w:r>
          </w:p>
        </w:tc>
        <w:tc>
          <w:tcPr>
            <w:tcW w:w="104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rFonts w:ascii="宋体" w:hAnsi="宋体" w:cs="宋体"/>
                <w:sz w:val="18"/>
                <w:szCs w:val="18"/>
              </w:rPr>
            </w:pPr>
            <w:r>
              <w:rPr>
                <w:rFonts w:ascii="宋体" w:hAnsi="宋体" w:cs="宋体"/>
                <w:sz w:val="18"/>
                <w:szCs w:val="18"/>
              </w:rPr>
              <w:t>4</w:t>
            </w:r>
          </w:p>
        </w:tc>
        <w:tc>
          <w:tcPr>
            <w:tcW w:w="104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rFonts w:ascii="宋体" w:hAnsi="宋体" w:cs="宋体"/>
                <w:sz w:val="18"/>
                <w:szCs w:val="18"/>
              </w:rPr>
            </w:pPr>
            <w:r>
              <w:rPr>
                <w:rFonts w:ascii="宋体" w:hAnsi="宋体" w:cs="宋体"/>
                <w:sz w:val="18"/>
                <w:szCs w:val="18"/>
              </w:rPr>
              <w:t>5</w:t>
            </w:r>
          </w:p>
        </w:tc>
        <w:tc>
          <w:tcPr>
            <w:tcW w:w="104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rFonts w:ascii="宋体" w:hAnsi="宋体" w:cs="宋体"/>
                <w:sz w:val="18"/>
                <w:szCs w:val="18"/>
              </w:rPr>
            </w:pPr>
            <w:r>
              <w:rPr>
                <w:rFonts w:ascii="宋体" w:hAnsi="宋体" w:cs="宋体"/>
                <w:sz w:val="18"/>
                <w:szCs w:val="18"/>
              </w:rPr>
              <w:t>6</w:t>
            </w:r>
          </w:p>
        </w:tc>
        <w:tc>
          <w:tcPr>
            <w:tcW w:w="104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rFonts w:ascii="宋体" w:hAnsi="宋体" w:cs="宋体"/>
                <w:sz w:val="18"/>
                <w:szCs w:val="18"/>
              </w:rPr>
            </w:pPr>
            <w:r>
              <w:rPr>
                <w:rFonts w:ascii="宋体" w:hAnsi="宋体" w:cs="宋体"/>
                <w:sz w:val="18"/>
                <w:szCs w:val="18"/>
              </w:rPr>
              <w:t>7</w:t>
            </w:r>
          </w:p>
        </w:tc>
        <w:tc>
          <w:tcPr>
            <w:tcW w:w="1043" w:type="dxa"/>
            <w:tcBorders>
              <w:top w:val="single" w:color="auto" w:sz="2" w:space="0"/>
              <w:left w:val="single" w:color="auto" w:sz="2" w:space="0"/>
              <w:bottom w:val="single" w:color="auto" w:sz="2" w:space="0"/>
            </w:tcBorders>
            <w:vAlign w:val="center"/>
          </w:tcPr>
          <w:p>
            <w:pPr>
              <w:spacing w:line="240" w:lineRule="exact"/>
              <w:jc w:val="center"/>
              <w:textAlignment w:val="center"/>
              <w:rPr>
                <w:rFonts w:ascii="宋体" w:hAnsi="宋体" w:cs="宋体"/>
                <w:sz w:val="18"/>
                <w:szCs w:val="18"/>
              </w:rPr>
            </w:pPr>
            <w:r>
              <w:rPr>
                <w:rFonts w:ascii="宋体" w:hAnsi="宋体" w:cs="宋体"/>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080" w:type="dxa"/>
            <w:tcBorders>
              <w:top w:val="single" w:color="auto" w:sz="2" w:space="0"/>
              <w:bottom w:val="single" w:color="auto" w:sz="8" w:space="0"/>
              <w:right w:val="single" w:color="auto" w:sz="2" w:space="0"/>
            </w:tcBorders>
            <w:vAlign w:val="center"/>
          </w:tcPr>
          <w:p>
            <w:pPr>
              <w:spacing w:line="240" w:lineRule="exact"/>
              <w:jc w:val="center"/>
              <w:rPr>
                <w:sz w:val="18"/>
                <w:szCs w:val="18"/>
              </w:rPr>
            </w:pPr>
            <w:r>
              <w:rPr>
                <w:sz w:val="18"/>
                <w:szCs w:val="18"/>
              </w:rPr>
              <w:t>产量</w:t>
            </w:r>
          </w:p>
        </w:tc>
        <w:tc>
          <w:tcPr>
            <w:tcW w:w="8341" w:type="dxa"/>
            <w:gridSpan w:val="8"/>
            <w:tcBorders>
              <w:top w:val="single" w:color="auto" w:sz="2" w:space="0"/>
              <w:left w:val="single" w:color="auto" w:sz="2" w:space="0"/>
              <w:bottom w:val="single" w:color="auto" w:sz="8" w:space="0"/>
            </w:tcBorders>
            <w:vAlign w:val="center"/>
          </w:tcPr>
          <w:p>
            <w:pPr>
              <w:spacing w:line="240" w:lineRule="exact"/>
              <w:rPr>
                <w:sz w:val="18"/>
                <w:szCs w:val="18"/>
              </w:rPr>
            </w:pPr>
          </w:p>
        </w:tc>
      </w:tr>
    </w:tbl>
    <w:p>
      <w:pPr>
        <w:tabs>
          <w:tab w:val="left" w:pos="9030"/>
        </w:tabs>
        <w:snapToGrid w:val="0"/>
        <w:ind w:right="4" w:rightChars="2"/>
        <w:rPr>
          <w:sz w:val="18"/>
          <w:szCs w:val="18"/>
        </w:rPr>
      </w:pPr>
    </w:p>
    <w:p>
      <w:pPr>
        <w:tabs>
          <w:tab w:val="left" w:pos="9030"/>
        </w:tabs>
        <w:snapToGrid w:val="0"/>
        <w:ind w:right="4" w:rightChars="2"/>
        <w:rPr>
          <w:sz w:val="18"/>
          <w:szCs w:val="18"/>
        </w:rPr>
      </w:pPr>
      <w:r>
        <w:rPr>
          <w:sz w:val="18"/>
          <w:szCs w:val="18"/>
        </w:rPr>
        <w:t>补充资料二：国际燃料舱                                              　　                   计量单位：万吨</w:t>
      </w:r>
    </w:p>
    <w:tbl>
      <w:tblPr>
        <w:tblStyle w:val="25"/>
        <w:tblW w:w="9407"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998"/>
        <w:gridCol w:w="1999"/>
        <w:gridCol w:w="1999"/>
        <w:gridCol w:w="19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12" w:type="dxa"/>
            <w:tcBorders>
              <w:top w:val="single" w:color="auto" w:sz="8" w:space="0"/>
              <w:bottom w:val="single" w:color="auto" w:sz="2" w:space="0"/>
              <w:right w:val="single" w:color="auto" w:sz="2" w:space="0"/>
            </w:tcBorders>
            <w:vAlign w:val="center"/>
          </w:tcPr>
          <w:p>
            <w:pPr>
              <w:jc w:val="center"/>
              <w:rPr>
                <w:sz w:val="18"/>
                <w:szCs w:val="18"/>
              </w:rPr>
            </w:pPr>
          </w:p>
        </w:tc>
        <w:tc>
          <w:tcPr>
            <w:tcW w:w="1998"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汽  油</w:t>
            </w:r>
          </w:p>
        </w:tc>
        <w:tc>
          <w:tcPr>
            <w:tcW w:w="1999"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煤  油</w:t>
            </w:r>
          </w:p>
        </w:tc>
        <w:tc>
          <w:tcPr>
            <w:tcW w:w="1999" w:type="dxa"/>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柴  油</w:t>
            </w:r>
          </w:p>
        </w:tc>
        <w:tc>
          <w:tcPr>
            <w:tcW w:w="1999" w:type="dxa"/>
            <w:tcBorders>
              <w:top w:val="single" w:color="auto" w:sz="8" w:space="0"/>
              <w:left w:val="single" w:color="auto" w:sz="2" w:space="0"/>
              <w:bottom w:val="single" w:color="auto" w:sz="2" w:space="0"/>
            </w:tcBorders>
            <w:vAlign w:val="center"/>
          </w:tcPr>
          <w:p>
            <w:pPr>
              <w:jc w:val="center"/>
              <w:rPr>
                <w:sz w:val="18"/>
                <w:szCs w:val="18"/>
              </w:rPr>
            </w:pPr>
            <w:r>
              <w:rPr>
                <w:sz w:val="18"/>
                <w:szCs w:val="18"/>
              </w:rPr>
              <w:t>燃料油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2"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甲</w:t>
            </w:r>
          </w:p>
        </w:tc>
        <w:tc>
          <w:tcPr>
            <w:tcW w:w="199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s="宋体"/>
                <w:sz w:val="18"/>
                <w:szCs w:val="18"/>
              </w:rPr>
            </w:pPr>
            <w:r>
              <w:rPr>
                <w:rFonts w:ascii="宋体" w:hAnsi="宋体" w:cs="宋体"/>
                <w:sz w:val="18"/>
                <w:szCs w:val="18"/>
              </w:rPr>
              <w:t>1</w:t>
            </w:r>
          </w:p>
        </w:tc>
        <w:tc>
          <w:tcPr>
            <w:tcW w:w="1999"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s="宋体"/>
                <w:sz w:val="18"/>
                <w:szCs w:val="18"/>
              </w:rPr>
            </w:pPr>
            <w:r>
              <w:rPr>
                <w:rFonts w:ascii="宋体" w:hAnsi="宋体" w:cs="宋体"/>
                <w:sz w:val="18"/>
                <w:szCs w:val="18"/>
              </w:rPr>
              <w:t>2</w:t>
            </w:r>
          </w:p>
        </w:tc>
        <w:tc>
          <w:tcPr>
            <w:tcW w:w="1999"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s="宋体"/>
                <w:sz w:val="18"/>
                <w:szCs w:val="18"/>
              </w:rPr>
            </w:pPr>
            <w:r>
              <w:rPr>
                <w:rFonts w:ascii="宋体" w:hAnsi="宋体" w:cs="宋体"/>
                <w:sz w:val="18"/>
                <w:szCs w:val="18"/>
              </w:rPr>
              <w:t>3</w:t>
            </w:r>
          </w:p>
        </w:tc>
        <w:tc>
          <w:tcPr>
            <w:tcW w:w="1999" w:type="dxa"/>
            <w:tcBorders>
              <w:top w:val="single" w:color="auto" w:sz="2" w:space="0"/>
              <w:left w:val="single" w:color="auto" w:sz="2" w:space="0"/>
              <w:bottom w:val="single" w:color="auto" w:sz="2" w:space="0"/>
            </w:tcBorders>
            <w:vAlign w:val="center"/>
          </w:tcPr>
          <w:p>
            <w:pPr>
              <w:spacing w:line="240" w:lineRule="exact"/>
              <w:jc w:val="center"/>
              <w:rPr>
                <w:rFonts w:ascii="宋体" w:hAnsi="宋体" w:cs="宋体"/>
                <w:sz w:val="18"/>
                <w:szCs w:val="18"/>
              </w:rPr>
            </w:pPr>
            <w:r>
              <w:rPr>
                <w:rFonts w:ascii="宋体" w:hAnsi="宋体" w:cs="宋体"/>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412" w:type="dxa"/>
            <w:tcBorders>
              <w:top w:val="single" w:color="auto" w:sz="2" w:space="0"/>
              <w:bottom w:val="nil"/>
              <w:right w:val="single" w:color="auto" w:sz="2" w:space="0"/>
            </w:tcBorders>
            <w:vAlign w:val="center"/>
          </w:tcPr>
          <w:p>
            <w:pPr>
              <w:jc w:val="center"/>
              <w:rPr>
                <w:sz w:val="18"/>
                <w:szCs w:val="18"/>
              </w:rPr>
            </w:pPr>
            <w:r>
              <w:rPr>
                <w:sz w:val="18"/>
                <w:szCs w:val="18"/>
              </w:rPr>
              <w:t>国际航空</w:t>
            </w:r>
          </w:p>
        </w:tc>
        <w:tc>
          <w:tcPr>
            <w:tcW w:w="7995" w:type="dxa"/>
            <w:gridSpan w:val="4"/>
            <w:vMerge w:val="restart"/>
            <w:tcBorders>
              <w:top w:val="single" w:color="auto" w:sz="2" w:space="0"/>
              <w:left w:val="single" w:color="auto" w:sz="2" w:space="0"/>
            </w:tcBorders>
            <w:vAlign w:val="center"/>
          </w:tcPr>
          <w:p>
            <w:pPr>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412" w:type="dxa"/>
            <w:tcBorders>
              <w:top w:val="nil"/>
              <w:bottom w:val="single" w:color="auto" w:sz="8" w:space="0"/>
              <w:right w:val="single" w:color="auto" w:sz="2" w:space="0"/>
            </w:tcBorders>
            <w:vAlign w:val="center"/>
          </w:tcPr>
          <w:p>
            <w:pPr>
              <w:jc w:val="center"/>
              <w:rPr>
                <w:sz w:val="18"/>
                <w:szCs w:val="18"/>
              </w:rPr>
            </w:pPr>
            <w:r>
              <w:rPr>
                <w:sz w:val="18"/>
                <w:szCs w:val="18"/>
              </w:rPr>
              <w:t>国际海运</w:t>
            </w:r>
          </w:p>
        </w:tc>
        <w:tc>
          <w:tcPr>
            <w:tcW w:w="7995" w:type="dxa"/>
            <w:gridSpan w:val="4"/>
            <w:vMerge w:val="continue"/>
            <w:tcBorders>
              <w:left w:val="single" w:color="auto" w:sz="2" w:space="0"/>
              <w:bottom w:val="single" w:color="auto" w:sz="8" w:space="0"/>
            </w:tcBorders>
            <w:vAlign w:val="center"/>
          </w:tcPr>
          <w:p>
            <w:pPr>
              <w:jc w:val="center"/>
              <w:rPr>
                <w:sz w:val="18"/>
                <w:szCs w:val="18"/>
              </w:rPr>
            </w:pPr>
          </w:p>
        </w:tc>
      </w:tr>
    </w:tbl>
    <w:p>
      <w:pPr>
        <w:ind w:right="-1234"/>
        <w:rPr>
          <w:sz w:val="18"/>
          <w:szCs w:val="18"/>
        </w:rPr>
      </w:pPr>
      <w:r>
        <w:rPr>
          <w:sz w:val="18"/>
          <w:szCs w:val="18"/>
        </w:rPr>
        <w:t xml:space="preserve">单位负责人：            填表人：          </w:t>
      </w:r>
      <w:r>
        <w:rPr>
          <w:rFonts w:hint="eastAsia"/>
          <w:sz w:val="18"/>
          <w:szCs w:val="18"/>
        </w:rPr>
        <w:t>联系电话</w:t>
      </w:r>
      <w:r>
        <w:rPr>
          <w:sz w:val="18"/>
          <w:szCs w:val="18"/>
        </w:rPr>
        <w:t>：                        报出日期：２０  年   月   日</w:t>
      </w:r>
    </w:p>
    <w:p>
      <w:pPr>
        <w:spacing w:line="240" w:lineRule="exact"/>
        <w:ind w:right="-40"/>
        <w:rPr>
          <w:b/>
          <w:sz w:val="18"/>
          <w:szCs w:val="18"/>
        </w:rPr>
      </w:pPr>
    </w:p>
    <w:p>
      <w:pPr>
        <w:spacing w:line="240" w:lineRule="exact"/>
        <w:ind w:right="-40"/>
        <w:rPr>
          <w:rFonts w:ascii="宋体" w:hAnsi="宋体" w:cs="宋体"/>
          <w:sz w:val="18"/>
          <w:szCs w:val="18"/>
        </w:rPr>
      </w:pPr>
      <w:r>
        <w:rPr>
          <w:sz w:val="18"/>
          <w:szCs w:val="18"/>
        </w:rPr>
        <w:t>说明：</w:t>
      </w:r>
      <w:r>
        <w:rPr>
          <w:rFonts w:hint="eastAsia" w:ascii="宋体" w:hAnsi="宋体" w:cs="宋体"/>
          <w:sz w:val="18"/>
          <w:szCs w:val="18"/>
        </w:rPr>
        <w:t>1.统计范围：辖区内除军队系统以外的全部能源生产和消费活动。</w:t>
      </w:r>
    </w:p>
    <w:p>
      <w:pPr>
        <w:spacing w:line="240" w:lineRule="exact"/>
        <w:ind w:left="0" w:leftChars="0" w:right="-40" w:firstLine="540" w:firstLineChars="300"/>
        <w:rPr>
          <w:rFonts w:ascii="宋体" w:hAnsi="宋体" w:cs="宋体"/>
          <w:sz w:val="18"/>
          <w:szCs w:val="18"/>
        </w:rPr>
      </w:pPr>
      <w:r>
        <w:rPr>
          <w:rFonts w:hint="eastAsia" w:ascii="宋体" w:hAnsi="宋体" w:cs="宋体"/>
          <w:sz w:val="18"/>
          <w:szCs w:val="18"/>
        </w:rPr>
        <w:t>2.</w:t>
      </w:r>
      <w:r>
        <w:rPr>
          <w:rFonts w:hint="eastAsia" w:ascii="宋体" w:hAnsi="宋体" w:cs="宋体"/>
          <w:sz w:val="18"/>
          <w:szCs w:val="18"/>
        </w:rPr>
        <w:t>本表由各</w:t>
      </w:r>
      <w:r>
        <w:rPr>
          <w:rFonts w:hint="eastAsia" w:ascii="宋体" w:hAnsi="宋体" w:cs="宋体"/>
          <w:sz w:val="18"/>
          <w:szCs w:val="18"/>
        </w:rPr>
        <w:t>设区市和平潭综合实验区</w:t>
      </w:r>
      <w:r>
        <w:rPr>
          <w:rFonts w:hint="eastAsia" w:ascii="宋体" w:hAnsi="宋体" w:cs="宋体"/>
          <w:sz w:val="18"/>
          <w:szCs w:val="18"/>
        </w:rPr>
        <w:t>统计局根据现有资料加工编制并负责报送。报送时间为次年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日前，报</w:t>
      </w:r>
    </w:p>
    <w:p>
      <w:pPr>
        <w:spacing w:line="240" w:lineRule="exact"/>
        <w:ind w:left="303" w:leftChars="85" w:right="-40" w:hanging="125" w:firstLineChars="0"/>
        <w:rPr>
          <w:rFonts w:ascii="宋体" w:hAnsi="宋体" w:cs="宋体"/>
          <w:sz w:val="18"/>
          <w:szCs w:val="18"/>
        </w:rPr>
      </w:pPr>
      <w:r>
        <w:rPr>
          <w:rFonts w:hint="eastAsia" w:ascii="宋体" w:hAnsi="宋体" w:cs="宋体"/>
          <w:sz w:val="18"/>
          <w:szCs w:val="18"/>
        </w:rPr>
        <w:t xml:space="preserve">      送方式为电子邮件。</w:t>
      </w:r>
    </w:p>
    <w:p>
      <w:pPr>
        <w:spacing w:line="240" w:lineRule="exact"/>
        <w:ind w:right="-40" w:firstLine="540" w:firstLineChars="300"/>
        <w:rPr>
          <w:rFonts w:ascii="宋体" w:hAnsi="宋体" w:cs="宋体"/>
          <w:sz w:val="18"/>
          <w:szCs w:val="18"/>
        </w:rPr>
      </w:pPr>
      <w:r>
        <w:rPr>
          <w:rFonts w:hint="eastAsia" w:ascii="宋体" w:hAnsi="宋体" w:cs="宋体"/>
          <w:sz w:val="18"/>
          <w:szCs w:val="18"/>
        </w:rPr>
        <w:t>3.平衡关系：</w:t>
      </w:r>
    </w:p>
    <w:p>
      <w:pPr>
        <w:spacing w:line="240" w:lineRule="exact"/>
        <w:ind w:right="-40" w:firstLine="720" w:firstLineChars="400"/>
        <w:rPr>
          <w:rFonts w:ascii="宋体" w:hAnsi="宋体" w:cs="宋体"/>
          <w:sz w:val="18"/>
          <w:szCs w:val="18"/>
        </w:rPr>
      </w:pPr>
      <w:r>
        <w:rPr>
          <w:rFonts w:hint="eastAsia" w:ascii="宋体" w:hAnsi="宋体" w:cs="宋体"/>
          <w:sz w:val="18"/>
          <w:szCs w:val="18"/>
        </w:rPr>
        <w:t>列平衡关系：(1)第1列煤合计=2+7+8+9（01</w:t>
      </w:r>
      <w:r>
        <w:rPr>
          <w:rFonts w:hint="eastAsia"/>
          <w:sz w:val="18"/>
          <w:szCs w:val="18"/>
        </w:rPr>
        <w:t>—</w:t>
      </w:r>
      <w:r>
        <w:rPr>
          <w:rFonts w:hint="eastAsia" w:ascii="宋体" w:hAnsi="宋体" w:cs="宋体"/>
          <w:sz w:val="18"/>
          <w:szCs w:val="18"/>
        </w:rPr>
        <w:t xml:space="preserve">39行） </w:t>
      </w:r>
    </w:p>
    <w:p>
      <w:pPr>
        <w:spacing w:line="240" w:lineRule="exact"/>
        <w:ind w:right="-40" w:firstLine="1800" w:firstLineChars="1000"/>
        <w:rPr>
          <w:rFonts w:ascii="宋体" w:hAnsi="宋体" w:cs="宋体"/>
          <w:sz w:val="18"/>
          <w:szCs w:val="18"/>
        </w:rPr>
      </w:pPr>
      <w:r>
        <w:rPr>
          <w:rFonts w:hint="eastAsia" w:ascii="宋体" w:hAnsi="宋体" w:cs="宋体"/>
          <w:sz w:val="18"/>
          <w:szCs w:val="18"/>
        </w:rPr>
        <w:t xml:space="preserve">(2)第2列原煤=3+4+5+6 </w:t>
      </w:r>
    </w:p>
    <w:p>
      <w:pPr>
        <w:spacing w:line="240" w:lineRule="exact"/>
        <w:ind w:right="-40" w:firstLine="1800" w:firstLineChars="1000"/>
        <w:rPr>
          <w:rFonts w:ascii="宋体" w:hAnsi="宋体" w:cs="宋体"/>
          <w:sz w:val="18"/>
          <w:szCs w:val="18"/>
        </w:rPr>
      </w:pPr>
      <w:r>
        <w:rPr>
          <w:rFonts w:hint="eastAsia" w:ascii="宋体" w:hAnsi="宋体" w:cs="宋体"/>
          <w:sz w:val="18"/>
          <w:szCs w:val="18"/>
        </w:rPr>
        <w:t>(3)第17列</w:t>
      </w:r>
      <w:r>
        <w:rPr>
          <w:rFonts w:hint="eastAsia" w:ascii="宋体" w:hAnsi="宋体" w:cs="宋体"/>
          <w:sz w:val="18"/>
          <w:szCs w:val="18"/>
        </w:rPr>
        <w:t>油品</w:t>
      </w:r>
      <w:r>
        <w:rPr>
          <w:rFonts w:hint="eastAsia" w:ascii="宋体" w:hAnsi="宋体" w:cs="宋体"/>
          <w:sz w:val="18"/>
          <w:szCs w:val="18"/>
        </w:rPr>
        <w:t>合计=18+19+……+31（01</w:t>
      </w:r>
      <w:r>
        <w:rPr>
          <w:rFonts w:hint="eastAsia"/>
          <w:sz w:val="18"/>
          <w:szCs w:val="18"/>
        </w:rPr>
        <w:t>—</w:t>
      </w:r>
      <w:r>
        <w:rPr>
          <w:rFonts w:hint="eastAsia" w:ascii="宋体" w:hAnsi="宋体" w:cs="宋体"/>
          <w:sz w:val="18"/>
          <w:szCs w:val="18"/>
        </w:rPr>
        <w:t>39行）</w:t>
      </w:r>
    </w:p>
    <w:p>
      <w:pPr>
        <w:spacing w:line="240" w:lineRule="exact"/>
        <w:ind w:right="-40" w:firstLine="711" w:firstLineChars="395"/>
        <w:rPr>
          <w:rFonts w:ascii="宋体" w:hAnsi="宋体" w:cs="宋体"/>
          <w:sz w:val="18"/>
          <w:szCs w:val="18"/>
        </w:rPr>
      </w:pPr>
      <w:r>
        <w:rPr>
          <w:rFonts w:hint="eastAsia" w:ascii="宋体" w:hAnsi="宋体" w:cs="宋体"/>
          <w:sz w:val="18"/>
          <w:szCs w:val="18"/>
        </w:rPr>
        <w:t>行平衡关系：(1)平衡差额(39)=01+11-23-25</w:t>
      </w:r>
    </w:p>
    <w:p>
      <w:pPr>
        <w:spacing w:line="240" w:lineRule="exact"/>
        <w:ind w:right="-40" w:firstLine="1800" w:firstLineChars="1000"/>
        <w:rPr>
          <w:rFonts w:ascii="宋体" w:hAnsi="宋体" w:cs="宋体"/>
          <w:sz w:val="18"/>
          <w:szCs w:val="18"/>
        </w:rPr>
      </w:pPr>
      <w:r>
        <w:rPr>
          <w:rFonts w:hint="eastAsia" w:ascii="宋体" w:hAnsi="宋体" w:cs="宋体"/>
          <w:sz w:val="18"/>
          <w:szCs w:val="18"/>
        </w:rPr>
        <w:t>(2)消费量合计(40)=加工转换投入量(加工转换部分的全部负值求和后取绝对值)+23+25</w:t>
      </w:r>
    </w:p>
    <w:p>
      <w:pPr>
        <w:spacing w:line="240" w:lineRule="exact"/>
        <w:ind w:right="-40" w:firstLine="1800" w:firstLineChars="1000"/>
        <w:rPr>
          <w:rFonts w:ascii="宋体" w:hAnsi="宋体" w:cs="宋体"/>
          <w:sz w:val="18"/>
          <w:szCs w:val="18"/>
        </w:rPr>
      </w:pPr>
      <w:r>
        <w:rPr>
          <w:rFonts w:hint="eastAsia" w:ascii="宋体" w:hAnsi="宋体" w:cs="宋体"/>
          <w:sz w:val="18"/>
          <w:szCs w:val="18"/>
        </w:rPr>
        <w:t>(3)可供本地区消费的能源量(01)=02+03+……+10</w:t>
      </w:r>
    </w:p>
    <w:p>
      <w:pPr>
        <w:spacing w:line="240" w:lineRule="exact"/>
        <w:ind w:right="-40" w:firstLine="1800" w:firstLineChars="1000"/>
        <w:rPr>
          <w:rFonts w:ascii="宋体" w:hAnsi="宋体" w:cs="宋体"/>
          <w:sz w:val="18"/>
          <w:szCs w:val="18"/>
        </w:rPr>
      </w:pPr>
      <w:r>
        <w:rPr>
          <w:rFonts w:hint="eastAsia" w:ascii="宋体" w:hAnsi="宋体" w:cs="宋体"/>
          <w:sz w:val="18"/>
          <w:szCs w:val="18"/>
        </w:rPr>
        <w:t xml:space="preserve">(4)加工转换投入产出(11)=12+13+……+22                 </w:t>
      </w:r>
    </w:p>
    <w:p>
      <w:pPr>
        <w:spacing w:line="240" w:lineRule="exact"/>
        <w:ind w:right="-40" w:firstLine="1800" w:firstLineChars="1000"/>
        <w:rPr>
          <w:rFonts w:ascii="宋体" w:hAnsi="宋体" w:cs="宋体"/>
          <w:sz w:val="18"/>
          <w:szCs w:val="18"/>
        </w:rPr>
      </w:pPr>
      <w:r>
        <w:rPr>
          <w:rFonts w:hint="eastAsia" w:ascii="宋体" w:hAnsi="宋体" w:cs="宋体"/>
          <w:sz w:val="18"/>
          <w:szCs w:val="18"/>
        </w:rPr>
        <w:t>(5)损失量(23)≥24</w:t>
      </w:r>
    </w:p>
    <w:p>
      <w:pPr>
        <w:spacing w:line="240" w:lineRule="exact"/>
        <w:ind w:right="-40" w:firstLine="1800" w:firstLineChars="1000"/>
        <w:rPr>
          <w:rFonts w:ascii="宋体" w:hAnsi="宋体" w:cs="宋体"/>
          <w:sz w:val="18"/>
          <w:szCs w:val="18"/>
        </w:rPr>
      </w:pPr>
      <w:r>
        <w:rPr>
          <w:rFonts w:hint="eastAsia" w:ascii="宋体" w:hAnsi="宋体" w:cs="宋体"/>
          <w:sz w:val="18"/>
          <w:szCs w:val="18"/>
        </w:rPr>
        <w:t xml:space="preserve">(6)终端消费量(25)=26+28+32+36                         </w:t>
      </w:r>
    </w:p>
    <w:p>
      <w:pPr>
        <w:spacing w:line="240" w:lineRule="exact"/>
        <w:ind w:right="-40" w:firstLine="1800" w:firstLineChars="1000"/>
        <w:rPr>
          <w:rFonts w:ascii="宋体" w:hAnsi="宋体" w:cs="宋体"/>
          <w:sz w:val="18"/>
          <w:szCs w:val="18"/>
        </w:rPr>
      </w:pPr>
      <w:r>
        <w:rPr>
          <w:rFonts w:ascii="宋体" w:hAnsi="宋体" w:cs="宋体"/>
          <w:sz w:val="18"/>
          <w:szCs w:val="18"/>
        </w:rPr>
        <w:t>(7)</w:t>
      </w:r>
      <w:r>
        <w:rPr>
          <w:rFonts w:hint="eastAsia" w:ascii="宋体" w:hAnsi="宋体" w:cs="宋体"/>
          <w:sz w:val="18"/>
          <w:szCs w:val="18"/>
        </w:rPr>
        <w:t>农、林、牧、渔业</w:t>
      </w:r>
      <w:r>
        <w:rPr>
          <w:rFonts w:ascii="宋体" w:hAnsi="宋体" w:cs="宋体"/>
          <w:sz w:val="18"/>
          <w:szCs w:val="18"/>
        </w:rPr>
        <w:t>(26)=27</w:t>
      </w:r>
    </w:p>
    <w:p>
      <w:pPr>
        <w:spacing w:line="240" w:lineRule="exact"/>
        <w:ind w:right="-40" w:firstLine="1800" w:firstLineChars="1000"/>
        <w:rPr>
          <w:rFonts w:ascii="宋体" w:hAnsi="宋体" w:cs="宋体"/>
          <w:sz w:val="18"/>
          <w:szCs w:val="18"/>
        </w:rPr>
      </w:pPr>
      <w:r>
        <w:rPr>
          <w:rFonts w:ascii="宋体" w:hAnsi="宋体" w:cs="宋体"/>
          <w:sz w:val="18"/>
          <w:szCs w:val="18"/>
        </w:rPr>
        <w:t>(8)</w:t>
      </w:r>
      <w:r>
        <w:rPr>
          <w:rFonts w:hint="eastAsia" w:ascii="宋体" w:hAnsi="宋体" w:cs="宋体"/>
          <w:sz w:val="18"/>
          <w:szCs w:val="18"/>
        </w:rPr>
        <w:t>工业和建筑业</w:t>
      </w:r>
      <w:r>
        <w:rPr>
          <w:rFonts w:ascii="宋体" w:hAnsi="宋体" w:cs="宋体"/>
          <w:sz w:val="18"/>
          <w:szCs w:val="18"/>
        </w:rPr>
        <w:t xml:space="preserve">(28)=29+31                                 </w:t>
      </w:r>
    </w:p>
    <w:p>
      <w:pPr>
        <w:spacing w:line="240" w:lineRule="exact"/>
        <w:ind w:right="-40" w:firstLine="1800" w:firstLineChars="1000"/>
        <w:rPr>
          <w:rFonts w:ascii="宋体" w:hAnsi="宋体" w:cs="宋体"/>
          <w:sz w:val="18"/>
          <w:szCs w:val="18"/>
        </w:rPr>
      </w:pPr>
      <w:r>
        <w:rPr>
          <w:rFonts w:hint="eastAsia" w:ascii="宋体" w:hAnsi="宋体" w:cs="宋体"/>
          <w:sz w:val="18"/>
          <w:szCs w:val="18"/>
        </w:rPr>
        <w:t>(9)工业(29)≥30</w:t>
      </w:r>
    </w:p>
    <w:p>
      <w:pPr>
        <w:spacing w:line="240" w:lineRule="exact"/>
        <w:ind w:right="-40" w:firstLine="1800" w:firstLineChars="1000"/>
        <w:rPr>
          <w:rFonts w:ascii="宋体" w:hAnsi="宋体" w:cs="宋体"/>
          <w:sz w:val="18"/>
          <w:szCs w:val="18"/>
        </w:rPr>
      </w:pPr>
      <w:r>
        <w:rPr>
          <w:rFonts w:ascii="宋体" w:hAnsi="宋体" w:cs="宋体"/>
          <w:sz w:val="18"/>
          <w:szCs w:val="18"/>
        </w:rPr>
        <w:t>(10)</w:t>
      </w:r>
      <w:r>
        <w:rPr>
          <w:rFonts w:hint="eastAsia" w:ascii="宋体" w:hAnsi="宋体" w:cs="宋体"/>
          <w:sz w:val="18"/>
          <w:szCs w:val="18"/>
        </w:rPr>
        <w:t>服务业</w:t>
      </w:r>
      <w:r>
        <w:rPr>
          <w:rFonts w:ascii="宋体" w:hAnsi="宋体" w:cs="宋体"/>
          <w:kern w:val="0"/>
          <w:sz w:val="18"/>
          <w:szCs w:val="18"/>
          <w:vertAlign w:val="superscript"/>
        </w:rPr>
        <w:t>*</w:t>
      </w:r>
      <w:r>
        <w:rPr>
          <w:rFonts w:ascii="宋体" w:hAnsi="宋体" w:cs="宋体"/>
          <w:sz w:val="18"/>
          <w:szCs w:val="18"/>
        </w:rPr>
        <w:t xml:space="preserve"> </w:t>
      </w:r>
      <w:r>
        <w:rPr>
          <w:rFonts w:ascii="宋体" w:hAnsi="宋体" w:cs="宋体"/>
          <w:sz w:val="18"/>
          <w:szCs w:val="18"/>
        </w:rPr>
        <w:t xml:space="preserve">(32)=33+34+35                             </w:t>
      </w:r>
    </w:p>
    <w:p>
      <w:pPr>
        <w:spacing w:line="240" w:lineRule="exact"/>
        <w:ind w:right="-40" w:firstLine="1800" w:firstLineChars="1000"/>
        <w:rPr>
          <w:rFonts w:ascii="宋体" w:hAnsi="宋体" w:cs="宋体"/>
          <w:sz w:val="18"/>
          <w:szCs w:val="18"/>
        </w:rPr>
      </w:pPr>
      <w:r>
        <w:rPr>
          <w:rFonts w:ascii="宋体" w:hAnsi="宋体" w:cs="宋体"/>
          <w:sz w:val="18"/>
          <w:szCs w:val="18"/>
        </w:rPr>
        <w:t>(11)</w:t>
      </w:r>
      <w:r>
        <w:rPr>
          <w:rFonts w:hint="eastAsia" w:ascii="宋体" w:hAnsi="宋体" w:cs="宋体"/>
          <w:sz w:val="18"/>
          <w:szCs w:val="18"/>
        </w:rPr>
        <w:t>居民</w:t>
      </w:r>
      <w:r>
        <w:rPr>
          <w:rFonts w:hint="eastAsia" w:ascii="宋体" w:hAnsi="宋体" w:cs="宋体"/>
          <w:sz w:val="18"/>
          <w:szCs w:val="18"/>
        </w:rPr>
        <w:t>生活</w:t>
      </w:r>
      <w:r>
        <w:rPr>
          <w:rFonts w:ascii="宋体" w:hAnsi="宋体" w:cs="宋体"/>
          <w:sz w:val="18"/>
          <w:szCs w:val="18"/>
        </w:rPr>
        <w:t>(36)=37+38</w:t>
      </w:r>
    </w:p>
    <w:p>
      <w:pPr>
        <w:spacing w:line="240" w:lineRule="exact"/>
        <w:ind w:right="-40" w:firstLine="540" w:firstLineChars="300"/>
        <w:rPr>
          <w:rFonts w:ascii="宋体" w:hAnsi="宋体" w:cs="宋体"/>
          <w:sz w:val="18"/>
          <w:szCs w:val="18"/>
        </w:rPr>
      </w:pPr>
      <w:r>
        <w:rPr>
          <w:rFonts w:hint="eastAsia" w:ascii="宋体" w:hAnsi="宋体" w:cs="宋体"/>
          <w:sz w:val="18"/>
          <w:szCs w:val="18"/>
        </w:rPr>
        <w:t>4.电力产量：合计(1)=2+3+4+5+6+7+8</w:t>
      </w:r>
    </w:p>
    <w:p>
      <w:pPr>
        <w:spacing w:line="240" w:lineRule="exact"/>
        <w:ind w:right="-40" w:firstLine="540" w:firstLineChars="300"/>
        <w:rPr>
          <w:rFonts w:ascii="宋体" w:hAnsi="宋体" w:cs="宋体"/>
          <w:sz w:val="18"/>
          <w:szCs w:val="18"/>
        </w:rPr>
      </w:pPr>
      <w:r>
        <w:rPr>
          <w:rFonts w:ascii="宋体" w:hAnsi="宋体" w:cs="宋体"/>
          <w:sz w:val="18"/>
          <w:szCs w:val="18"/>
        </w:rPr>
        <w:t>5</w:t>
      </w:r>
      <w:r>
        <w:rPr>
          <w:rFonts w:hint="eastAsia" w:ascii="宋体" w:hAnsi="宋体" w:cs="宋体"/>
          <w:sz w:val="18"/>
          <w:szCs w:val="18"/>
        </w:rPr>
        <w:t>.国际燃料舱指用于国际海运和航空航线轮船和飞机的消费量。</w:t>
      </w:r>
    </w:p>
    <w:p>
      <w:pPr>
        <w:spacing w:line="240" w:lineRule="exact"/>
        <w:ind w:right="-40" w:firstLine="540" w:firstLineChars="300"/>
        <w:rPr>
          <w:sz w:val="18"/>
          <w:szCs w:val="18"/>
        </w:rPr>
      </w:pPr>
    </w:p>
    <w:p>
      <w:pPr>
        <w:spacing w:line="240" w:lineRule="exact"/>
        <w:ind w:right="-40" w:firstLine="540" w:firstLineChars="300"/>
        <w:rPr>
          <w:sz w:val="18"/>
          <w:szCs w:val="18"/>
        </w:rPr>
      </w:pPr>
    </w:p>
    <w:p>
      <w:pPr>
        <w:spacing w:line="240" w:lineRule="exact"/>
        <w:ind w:right="-40" w:firstLine="540" w:firstLineChars="300"/>
        <w:rPr>
          <w:sz w:val="18"/>
          <w:szCs w:val="18"/>
        </w:rPr>
      </w:pPr>
    </w:p>
    <w:p>
      <w:pPr>
        <w:spacing w:line="20" w:lineRule="exact"/>
        <w:ind w:right="-40" w:firstLine="540" w:firstLineChars="300"/>
        <w:rPr>
          <w:sz w:val="18"/>
          <w:szCs w:val="18"/>
        </w:rPr>
        <w:sectPr>
          <w:pgSz w:w="11906" w:h="16838"/>
          <w:pgMar w:top="1418" w:right="1247" w:bottom="1247" w:left="1247" w:header="851" w:footer="992" w:gutter="0"/>
          <w:pgNumType w:fmt="numberInDash"/>
          <w:cols w:space="720" w:num="1"/>
          <w:docGrid w:linePitch="286" w:charSpace="0"/>
        </w:sectPr>
      </w:pPr>
    </w:p>
    <w:p>
      <w:pPr>
        <w:spacing w:line="20" w:lineRule="exact"/>
        <w:ind w:right="-40" w:firstLine="540" w:firstLineChars="300"/>
        <w:rPr>
          <w:sz w:val="18"/>
          <w:szCs w:val="18"/>
        </w:rPr>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line="20" w:lineRule="exact"/>
        <w:ind w:right="-40" w:firstLine="630" w:firstLineChars="300"/>
      </w:pPr>
    </w:p>
    <w:p>
      <w:pPr>
        <w:spacing w:beforeLines="100" w:afterLines="100"/>
        <w:jc w:val="center"/>
        <w:outlineLvl w:val="2"/>
        <w:rPr>
          <w:sz w:val="32"/>
          <w:szCs w:val="32"/>
        </w:rPr>
      </w:pPr>
      <w:r>
        <w:rPr>
          <w:sz w:val="32"/>
          <w:szCs w:val="32"/>
        </w:rPr>
        <w:t>能源平衡表</w:t>
      </w:r>
      <w:r>
        <w:rPr>
          <w:rFonts w:hint="eastAsia"/>
          <w:sz w:val="32"/>
          <w:szCs w:val="32"/>
        </w:rPr>
        <w:t>（</w:t>
      </w:r>
      <w:r>
        <w:rPr>
          <w:sz w:val="32"/>
          <w:szCs w:val="32"/>
        </w:rPr>
        <w:t>标准量</w:t>
      </w:r>
      <w:r>
        <w:rPr>
          <w:rFonts w:hint="eastAsia"/>
          <w:sz w:val="32"/>
          <w:szCs w:val="32"/>
        </w:rPr>
        <w:t>）</w:t>
      </w:r>
    </w:p>
    <w:tbl>
      <w:tblPr>
        <w:tblStyle w:val="25"/>
        <w:tblW w:w="9400" w:type="dxa"/>
        <w:jc w:val="center"/>
        <w:tblInd w:w="0" w:type="dxa"/>
        <w:tblLayout w:type="fixed"/>
        <w:tblCellMar>
          <w:top w:w="0" w:type="dxa"/>
          <w:left w:w="0" w:type="dxa"/>
          <w:bottom w:w="0" w:type="dxa"/>
          <w:right w:w="0" w:type="dxa"/>
        </w:tblCellMar>
      </w:tblPr>
      <w:tblGrid>
        <w:gridCol w:w="3565"/>
        <w:gridCol w:w="630"/>
        <w:gridCol w:w="2753"/>
        <w:gridCol w:w="868"/>
        <w:gridCol w:w="1584"/>
      </w:tblGrid>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630" w:type="dxa"/>
          </w:tcPr>
          <w:p>
            <w:pPr>
              <w:spacing w:line="260" w:lineRule="exact"/>
              <w:rPr>
                <w:sz w:val="18"/>
                <w:szCs w:val="18"/>
              </w:rPr>
            </w:pPr>
          </w:p>
        </w:tc>
        <w:tc>
          <w:tcPr>
            <w:tcW w:w="2753" w:type="dxa"/>
          </w:tcPr>
          <w:p>
            <w:pPr>
              <w:spacing w:line="260" w:lineRule="exact"/>
              <w:rPr>
                <w:sz w:val="18"/>
                <w:szCs w:val="18"/>
              </w:rPr>
            </w:pPr>
            <w:r>
              <w:rPr>
                <w:sz w:val="18"/>
                <w:szCs w:val="18"/>
              </w:rPr>
              <w:t>　　　　　　　　　　　　　</w:t>
            </w:r>
          </w:p>
        </w:tc>
        <w:tc>
          <w:tcPr>
            <w:tcW w:w="868" w:type="dxa"/>
            <w:tcMar>
              <w:left w:w="0" w:type="dxa"/>
              <w:right w:w="0" w:type="dxa"/>
            </w:tcMar>
          </w:tcPr>
          <w:p>
            <w:pPr>
              <w:spacing w:line="260" w:lineRule="exact"/>
              <w:rPr>
                <w:sz w:val="18"/>
                <w:szCs w:val="18"/>
              </w:rPr>
            </w:pPr>
            <w:r>
              <w:rPr>
                <w:sz w:val="18"/>
                <w:szCs w:val="18"/>
              </w:rPr>
              <w:t>表    号：</w:t>
            </w:r>
          </w:p>
        </w:tc>
        <w:tc>
          <w:tcPr>
            <w:tcW w:w="1584" w:type="dxa"/>
            <w:vAlign w:val="center"/>
          </w:tcPr>
          <w:p>
            <w:pPr>
              <w:spacing w:line="260" w:lineRule="exact"/>
              <w:jc w:val="distribute"/>
              <w:rPr>
                <w:spacing w:val="-2"/>
                <w:kern w:val="0"/>
                <w:sz w:val="18"/>
                <w:szCs w:val="18"/>
              </w:rPr>
            </w:pPr>
            <w:r>
              <w:rPr>
                <w:spacing w:val="-2"/>
                <w:kern w:val="0"/>
                <w:sz w:val="18"/>
                <w:szCs w:val="18"/>
              </w:rPr>
              <w:t>Ｐ３０３－４表</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630" w:type="dxa"/>
          </w:tcPr>
          <w:p>
            <w:pPr>
              <w:spacing w:line="260" w:lineRule="exact"/>
              <w:rPr>
                <w:sz w:val="18"/>
                <w:szCs w:val="18"/>
              </w:rPr>
            </w:pPr>
          </w:p>
        </w:tc>
        <w:tc>
          <w:tcPr>
            <w:tcW w:w="2753" w:type="dxa"/>
          </w:tcPr>
          <w:p>
            <w:pPr>
              <w:spacing w:line="260" w:lineRule="exact"/>
              <w:rPr>
                <w:sz w:val="18"/>
                <w:szCs w:val="18"/>
              </w:rPr>
            </w:pPr>
          </w:p>
        </w:tc>
        <w:tc>
          <w:tcPr>
            <w:tcW w:w="868" w:type="dxa"/>
            <w:tcMar>
              <w:left w:w="0" w:type="dxa"/>
              <w:right w:w="0" w:type="dxa"/>
            </w:tcMar>
            <w:vAlign w:val="center"/>
          </w:tcPr>
          <w:p>
            <w:pPr>
              <w:spacing w:line="260" w:lineRule="exact"/>
              <w:rPr>
                <w:sz w:val="18"/>
                <w:szCs w:val="18"/>
              </w:rPr>
            </w:pPr>
            <w:r>
              <w:rPr>
                <w:sz w:val="18"/>
                <w:szCs w:val="18"/>
              </w:rPr>
              <w:t>制定机关：</w:t>
            </w:r>
          </w:p>
        </w:tc>
        <w:tc>
          <w:tcPr>
            <w:tcW w:w="1584" w:type="dxa"/>
            <w:vAlign w:val="center"/>
          </w:tcPr>
          <w:p>
            <w:pPr>
              <w:spacing w:line="260" w:lineRule="exact"/>
              <w:jc w:val="distribute"/>
              <w:rPr>
                <w:spacing w:val="-2"/>
                <w:kern w:val="0"/>
                <w:sz w:val="18"/>
                <w:szCs w:val="18"/>
              </w:rPr>
            </w:pPr>
            <w:r>
              <w:rPr>
                <w:spacing w:val="-2"/>
                <w:kern w:val="0"/>
                <w:sz w:val="18"/>
                <w:szCs w:val="18"/>
              </w:rPr>
              <w:t>国 家 统 计 局</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630" w:type="dxa"/>
          </w:tcPr>
          <w:p>
            <w:pPr>
              <w:spacing w:line="260" w:lineRule="exact"/>
              <w:rPr>
                <w:sz w:val="18"/>
                <w:szCs w:val="18"/>
              </w:rPr>
            </w:pPr>
          </w:p>
        </w:tc>
        <w:tc>
          <w:tcPr>
            <w:tcW w:w="2753" w:type="dxa"/>
          </w:tcPr>
          <w:p>
            <w:pPr>
              <w:spacing w:line="260" w:lineRule="exact"/>
              <w:rPr>
                <w:sz w:val="18"/>
                <w:szCs w:val="18"/>
              </w:rPr>
            </w:pPr>
          </w:p>
        </w:tc>
        <w:tc>
          <w:tcPr>
            <w:tcW w:w="868" w:type="dxa"/>
            <w:tcMar>
              <w:left w:w="0" w:type="dxa"/>
              <w:right w:w="0" w:type="dxa"/>
            </w:tcMar>
            <w:vAlign w:val="center"/>
          </w:tcPr>
          <w:p>
            <w:pPr>
              <w:spacing w:line="260" w:lineRule="exact"/>
              <w:rPr>
                <w:sz w:val="18"/>
                <w:szCs w:val="18"/>
              </w:rPr>
            </w:pPr>
            <w:r>
              <w:rPr>
                <w:sz w:val="18"/>
                <w:szCs w:val="18"/>
              </w:rPr>
              <w:t>文    号：</w:t>
            </w:r>
          </w:p>
        </w:tc>
        <w:tc>
          <w:tcPr>
            <w:tcW w:w="1584" w:type="dxa"/>
            <w:vAlign w:val="center"/>
          </w:tcPr>
          <w:p>
            <w:pPr>
              <w:spacing w:line="260" w:lineRule="exact"/>
              <w:jc w:val="distribute"/>
              <w:rPr>
                <w:spacing w:val="-2"/>
                <w:kern w:val="0"/>
                <w:sz w:val="18"/>
                <w:szCs w:val="18"/>
              </w:rPr>
            </w:pPr>
            <w:r>
              <w:rPr>
                <w:rFonts w:hint="eastAsia" w:ascii="宋体" w:hAnsi="宋体"/>
                <w:spacing w:val="-2"/>
                <w:kern w:val="0"/>
                <w:sz w:val="18"/>
                <w:szCs w:val="18"/>
              </w:rPr>
              <w:t>国统字〔2020〕105 号</w:t>
            </w:r>
          </w:p>
        </w:tc>
      </w:tr>
      <w:tr>
        <w:tblPrEx>
          <w:tblLayout w:type="fixed"/>
          <w:tblCellMar>
            <w:top w:w="0" w:type="dxa"/>
            <w:left w:w="0" w:type="dxa"/>
            <w:bottom w:w="0" w:type="dxa"/>
            <w:right w:w="0" w:type="dxa"/>
          </w:tblCellMar>
        </w:tblPrEx>
        <w:trPr>
          <w:trHeight w:val="198" w:hRule="atLeast"/>
          <w:jc w:val="center"/>
        </w:trPr>
        <w:tc>
          <w:tcPr>
            <w:tcW w:w="3565" w:type="dxa"/>
          </w:tcPr>
          <w:p>
            <w:pPr>
              <w:spacing w:line="260" w:lineRule="exact"/>
              <w:rPr>
                <w:sz w:val="18"/>
                <w:szCs w:val="18"/>
              </w:rPr>
            </w:pPr>
          </w:p>
        </w:tc>
        <w:tc>
          <w:tcPr>
            <w:tcW w:w="630" w:type="dxa"/>
          </w:tcPr>
          <w:p>
            <w:pPr>
              <w:spacing w:line="260" w:lineRule="exact"/>
              <w:rPr>
                <w:sz w:val="18"/>
                <w:szCs w:val="18"/>
              </w:rPr>
            </w:pPr>
          </w:p>
        </w:tc>
        <w:tc>
          <w:tcPr>
            <w:tcW w:w="2753" w:type="dxa"/>
          </w:tcPr>
          <w:p>
            <w:pPr>
              <w:spacing w:line="260" w:lineRule="exact"/>
              <w:rPr>
                <w:sz w:val="18"/>
                <w:szCs w:val="18"/>
              </w:rPr>
            </w:pPr>
          </w:p>
        </w:tc>
        <w:tc>
          <w:tcPr>
            <w:tcW w:w="868" w:type="dxa"/>
            <w:tcMar>
              <w:left w:w="0" w:type="dxa"/>
              <w:right w:w="0" w:type="dxa"/>
            </w:tcMar>
            <w:vAlign w:val="center"/>
          </w:tcPr>
          <w:p>
            <w:pPr>
              <w:spacing w:line="260" w:lineRule="exact"/>
              <w:rPr>
                <w:sz w:val="18"/>
                <w:szCs w:val="18"/>
              </w:rPr>
            </w:pPr>
            <w:r>
              <w:rPr>
                <w:sz w:val="18"/>
                <w:szCs w:val="18"/>
              </w:rPr>
              <w:t>有效期至：</w:t>
            </w:r>
          </w:p>
        </w:tc>
        <w:tc>
          <w:tcPr>
            <w:tcW w:w="1584" w:type="dxa"/>
            <w:vAlign w:val="center"/>
          </w:tcPr>
          <w:p>
            <w:pPr>
              <w:spacing w:line="260" w:lineRule="exact"/>
              <w:jc w:val="distribute"/>
              <w:rPr>
                <w:spacing w:val="-2"/>
                <w:kern w:val="0"/>
                <w:sz w:val="18"/>
                <w:szCs w:val="18"/>
              </w:rPr>
            </w:pPr>
            <w:r>
              <w:rPr>
                <w:spacing w:val="-2"/>
                <w:kern w:val="0"/>
                <w:sz w:val="18"/>
                <w:szCs w:val="18"/>
              </w:rPr>
              <w:t>２０２１年６月</w:t>
            </w:r>
          </w:p>
        </w:tc>
      </w:tr>
      <w:tr>
        <w:tblPrEx>
          <w:tblLayout w:type="fixed"/>
          <w:tblCellMar>
            <w:top w:w="0" w:type="dxa"/>
            <w:left w:w="0" w:type="dxa"/>
            <w:bottom w:w="0" w:type="dxa"/>
            <w:right w:w="0" w:type="dxa"/>
          </w:tblCellMar>
        </w:tblPrEx>
        <w:trPr>
          <w:jc w:val="center"/>
        </w:trPr>
        <w:tc>
          <w:tcPr>
            <w:tcW w:w="3565" w:type="dxa"/>
          </w:tcPr>
          <w:p>
            <w:pPr>
              <w:spacing w:line="260" w:lineRule="exact"/>
              <w:jc w:val="left"/>
              <w:rPr>
                <w:sz w:val="18"/>
              </w:rPr>
            </w:pPr>
            <w:r>
              <w:rPr>
                <w:sz w:val="18"/>
              </w:rPr>
              <w:t>综合机关名称：</w:t>
            </w:r>
          </w:p>
        </w:tc>
        <w:tc>
          <w:tcPr>
            <w:tcW w:w="630" w:type="dxa"/>
          </w:tcPr>
          <w:p>
            <w:pPr>
              <w:spacing w:line="260" w:lineRule="exact"/>
              <w:jc w:val="left"/>
              <w:rPr>
                <w:sz w:val="18"/>
                <w:szCs w:val="18"/>
              </w:rPr>
            </w:pPr>
          </w:p>
        </w:tc>
        <w:tc>
          <w:tcPr>
            <w:tcW w:w="2753" w:type="dxa"/>
          </w:tcPr>
          <w:p>
            <w:pPr>
              <w:spacing w:line="260" w:lineRule="exact"/>
              <w:rPr>
                <w:sz w:val="18"/>
                <w:szCs w:val="18"/>
              </w:rPr>
            </w:pPr>
            <w:r>
              <w:rPr>
                <w:sz w:val="18"/>
                <w:szCs w:val="18"/>
              </w:rPr>
              <w:t>２０　　年　　　　　　　　　</w:t>
            </w:r>
          </w:p>
        </w:tc>
        <w:tc>
          <w:tcPr>
            <w:tcW w:w="868" w:type="dxa"/>
            <w:tcMar>
              <w:left w:w="0" w:type="dxa"/>
              <w:right w:w="0" w:type="dxa"/>
            </w:tcMar>
            <w:vAlign w:val="center"/>
          </w:tcPr>
          <w:p>
            <w:pPr>
              <w:spacing w:line="260" w:lineRule="exact"/>
              <w:rPr>
                <w:sz w:val="18"/>
                <w:szCs w:val="18"/>
              </w:rPr>
            </w:pPr>
            <w:r>
              <w:rPr>
                <w:sz w:val="18"/>
                <w:szCs w:val="18"/>
              </w:rPr>
              <w:t>计量单位：</w:t>
            </w:r>
          </w:p>
        </w:tc>
        <w:tc>
          <w:tcPr>
            <w:tcW w:w="1584" w:type="dxa"/>
            <w:vAlign w:val="center"/>
          </w:tcPr>
          <w:p>
            <w:pPr>
              <w:spacing w:line="260" w:lineRule="exact"/>
              <w:jc w:val="distribute"/>
              <w:rPr>
                <w:spacing w:val="-2"/>
                <w:kern w:val="0"/>
                <w:sz w:val="18"/>
                <w:szCs w:val="18"/>
              </w:rPr>
            </w:pPr>
            <w:r>
              <w:rPr>
                <w:spacing w:val="-2"/>
                <w:kern w:val="0"/>
                <w:sz w:val="18"/>
                <w:szCs w:val="18"/>
              </w:rPr>
              <w:t>万吨标准煤</w:t>
            </w:r>
          </w:p>
        </w:tc>
      </w:tr>
    </w:tbl>
    <w:p>
      <w:pPr>
        <w:spacing w:line="20" w:lineRule="exact"/>
        <w:ind w:right="-42" w:rightChars="-20"/>
        <w:rPr>
          <w:rFonts w:eastAsia="仿宋_GB2312"/>
          <w:sz w:val="28"/>
          <w:szCs w:val="28"/>
        </w:rPr>
      </w:pPr>
    </w:p>
    <w:tbl>
      <w:tblPr>
        <w:tblStyle w:val="25"/>
        <w:tblW w:w="9407" w:type="dxa"/>
        <w:jc w:val="center"/>
        <w:tblInd w:w="0" w:type="dxa"/>
        <w:tblLayout w:type="fixed"/>
        <w:tblCellMar>
          <w:top w:w="0" w:type="dxa"/>
          <w:left w:w="108" w:type="dxa"/>
          <w:bottom w:w="0" w:type="dxa"/>
          <w:right w:w="108" w:type="dxa"/>
        </w:tblCellMar>
      </w:tblPr>
      <w:tblGrid>
        <w:gridCol w:w="2203"/>
        <w:gridCol w:w="665"/>
        <w:gridCol w:w="665"/>
        <w:gridCol w:w="665"/>
        <w:gridCol w:w="840"/>
        <w:gridCol w:w="900"/>
        <w:gridCol w:w="900"/>
        <w:gridCol w:w="720"/>
        <w:gridCol w:w="615"/>
        <w:gridCol w:w="616"/>
        <w:gridCol w:w="618"/>
      </w:tblGrid>
      <w:tr>
        <w:tblPrEx>
          <w:tblLayout w:type="fixed"/>
          <w:tblCellMar>
            <w:top w:w="0" w:type="dxa"/>
            <w:left w:w="108" w:type="dxa"/>
            <w:bottom w:w="0" w:type="dxa"/>
            <w:right w:w="108" w:type="dxa"/>
          </w:tblCellMar>
        </w:tblPrEx>
        <w:trPr>
          <w:trHeight w:val="189" w:hRule="atLeast"/>
          <w:jc w:val="center"/>
        </w:trPr>
        <w:tc>
          <w:tcPr>
            <w:tcW w:w="2203" w:type="dxa"/>
            <w:vMerge w:val="restart"/>
            <w:tcBorders>
              <w:top w:val="single" w:color="auto" w:sz="8" w:space="0"/>
              <w:bottom w:val="single" w:color="auto" w:sz="2" w:space="0"/>
              <w:right w:val="single" w:color="auto" w:sz="2" w:space="0"/>
            </w:tcBorders>
            <w:vAlign w:val="center"/>
          </w:tcPr>
          <w:p>
            <w:pPr>
              <w:widowControl/>
              <w:ind w:left="-105" w:leftChars="-50" w:right="-105" w:rightChars="-50"/>
              <w:jc w:val="center"/>
              <w:rPr>
                <w:kern w:val="0"/>
                <w:sz w:val="18"/>
                <w:szCs w:val="18"/>
              </w:rPr>
            </w:pPr>
            <w:r>
              <w:rPr>
                <w:kern w:val="0"/>
                <w:sz w:val="18"/>
                <w:szCs w:val="18"/>
              </w:rPr>
              <w:t>指标名称</w:t>
            </w:r>
          </w:p>
        </w:tc>
        <w:tc>
          <w:tcPr>
            <w:tcW w:w="665" w:type="dxa"/>
            <w:vMerge w:val="restart"/>
            <w:tcBorders>
              <w:top w:val="single" w:color="auto" w:sz="8" w:space="0"/>
              <w:left w:val="single" w:color="auto" w:sz="2" w:space="0"/>
              <w:bottom w:val="single" w:color="auto" w:sz="2" w:space="0"/>
              <w:right w:val="single" w:color="auto" w:sz="2" w:space="0"/>
            </w:tcBorders>
            <w:vAlign w:val="center"/>
          </w:tcPr>
          <w:p>
            <w:pPr>
              <w:widowControl/>
              <w:ind w:left="-105" w:leftChars="-50" w:right="-105" w:rightChars="-50"/>
              <w:jc w:val="center"/>
              <w:rPr>
                <w:bCs/>
                <w:kern w:val="0"/>
                <w:sz w:val="18"/>
                <w:szCs w:val="18"/>
              </w:rPr>
            </w:pPr>
            <w:r>
              <w:rPr>
                <w:bCs/>
                <w:kern w:val="0"/>
                <w:sz w:val="18"/>
                <w:szCs w:val="18"/>
              </w:rPr>
              <w:t>代码</w:t>
            </w:r>
          </w:p>
        </w:tc>
        <w:tc>
          <w:tcPr>
            <w:tcW w:w="665" w:type="dxa"/>
            <w:vMerge w:val="restart"/>
            <w:tcBorders>
              <w:top w:val="single" w:color="auto" w:sz="8" w:space="0"/>
              <w:left w:val="single" w:color="auto" w:sz="2" w:space="0"/>
              <w:bottom w:val="single" w:color="auto" w:sz="2" w:space="0"/>
              <w:right w:val="single" w:color="auto" w:sz="2" w:space="0"/>
            </w:tcBorders>
            <w:vAlign w:val="center"/>
          </w:tcPr>
          <w:p>
            <w:pPr>
              <w:widowControl/>
              <w:ind w:left="-105" w:leftChars="-50" w:right="-105" w:rightChars="-50"/>
              <w:jc w:val="center"/>
              <w:rPr>
                <w:bCs/>
                <w:kern w:val="0"/>
                <w:sz w:val="18"/>
                <w:szCs w:val="18"/>
              </w:rPr>
            </w:pPr>
            <w:r>
              <w:rPr>
                <w:bCs/>
                <w:kern w:val="0"/>
                <w:sz w:val="18"/>
                <w:szCs w:val="18"/>
              </w:rPr>
              <w:t>煤合计</w:t>
            </w:r>
          </w:p>
        </w:tc>
        <w:tc>
          <w:tcPr>
            <w:tcW w:w="665" w:type="dxa"/>
            <w:vMerge w:val="restart"/>
            <w:tcBorders>
              <w:top w:val="single" w:color="auto" w:sz="8" w:space="0"/>
              <w:left w:val="single" w:color="auto" w:sz="2" w:space="0"/>
              <w:bottom w:val="single" w:color="auto" w:sz="2" w:space="0"/>
            </w:tcBorders>
            <w:vAlign w:val="center"/>
          </w:tcPr>
          <w:p>
            <w:pPr>
              <w:widowControl/>
              <w:ind w:left="-105" w:leftChars="-50" w:right="-105" w:rightChars="-50"/>
              <w:jc w:val="center"/>
              <w:rPr>
                <w:bCs/>
                <w:kern w:val="0"/>
                <w:sz w:val="18"/>
                <w:szCs w:val="18"/>
              </w:rPr>
            </w:pPr>
            <w:r>
              <w:rPr>
                <w:bCs/>
                <w:kern w:val="0"/>
                <w:sz w:val="18"/>
                <w:szCs w:val="18"/>
              </w:rPr>
              <w:t>原 煤</w:t>
            </w:r>
          </w:p>
        </w:tc>
        <w:tc>
          <w:tcPr>
            <w:tcW w:w="3360" w:type="dxa"/>
            <w:gridSpan w:val="4"/>
            <w:tcBorders>
              <w:top w:val="single" w:color="auto" w:sz="8" w:space="0"/>
              <w:bottom w:val="single" w:color="auto" w:sz="2" w:space="0"/>
              <w:right w:val="single" w:color="auto" w:sz="2" w:space="0"/>
            </w:tcBorders>
            <w:vAlign w:val="center"/>
          </w:tcPr>
          <w:p>
            <w:pPr>
              <w:widowControl/>
              <w:ind w:left="-105" w:leftChars="-50" w:right="-105" w:rightChars="-50"/>
              <w:jc w:val="center"/>
              <w:rPr>
                <w:bCs/>
                <w:kern w:val="0"/>
                <w:sz w:val="18"/>
                <w:szCs w:val="18"/>
              </w:rPr>
            </w:pPr>
            <w:r>
              <w:rPr>
                <w:bCs/>
                <w:kern w:val="0"/>
                <w:sz w:val="18"/>
                <w:szCs w:val="18"/>
              </w:rPr>
              <w:t>　</w:t>
            </w:r>
          </w:p>
        </w:tc>
        <w:tc>
          <w:tcPr>
            <w:tcW w:w="615" w:type="dxa"/>
            <w:vMerge w:val="restart"/>
            <w:tcBorders>
              <w:top w:val="single" w:color="auto" w:sz="8" w:space="0"/>
              <w:left w:val="single" w:color="auto" w:sz="2" w:space="0"/>
              <w:bottom w:val="single" w:color="auto" w:sz="2" w:space="0"/>
              <w:right w:val="single" w:color="auto" w:sz="2" w:space="0"/>
            </w:tcBorders>
            <w:vAlign w:val="center"/>
          </w:tcPr>
          <w:p>
            <w:pPr>
              <w:widowControl/>
              <w:ind w:left="-105" w:leftChars="-50" w:right="-105" w:rightChars="-50"/>
              <w:jc w:val="center"/>
              <w:rPr>
                <w:bCs/>
                <w:kern w:val="0"/>
                <w:sz w:val="18"/>
                <w:szCs w:val="18"/>
              </w:rPr>
            </w:pPr>
            <w:r>
              <w:rPr>
                <w:bCs/>
                <w:kern w:val="0"/>
                <w:sz w:val="18"/>
                <w:szCs w:val="18"/>
              </w:rPr>
              <w:t xml:space="preserve">洗精煤 </w:t>
            </w:r>
          </w:p>
        </w:tc>
        <w:tc>
          <w:tcPr>
            <w:tcW w:w="616" w:type="dxa"/>
            <w:vMerge w:val="restart"/>
            <w:tcBorders>
              <w:top w:val="single" w:color="auto" w:sz="8" w:space="0"/>
              <w:left w:val="single" w:color="auto" w:sz="2" w:space="0"/>
              <w:bottom w:val="single" w:color="auto" w:sz="2" w:space="0"/>
              <w:right w:val="single" w:color="auto" w:sz="2" w:space="0"/>
            </w:tcBorders>
            <w:vAlign w:val="center"/>
          </w:tcPr>
          <w:p>
            <w:pPr>
              <w:widowControl/>
              <w:ind w:left="-105" w:leftChars="-50" w:right="-105" w:rightChars="-50"/>
              <w:jc w:val="center"/>
              <w:rPr>
                <w:bCs/>
                <w:kern w:val="0"/>
                <w:sz w:val="18"/>
                <w:szCs w:val="18"/>
              </w:rPr>
            </w:pPr>
            <w:r>
              <w:rPr>
                <w:bCs/>
                <w:kern w:val="0"/>
                <w:sz w:val="18"/>
                <w:szCs w:val="18"/>
              </w:rPr>
              <w:t>其 他　　　　洗 煤</w:t>
            </w:r>
          </w:p>
        </w:tc>
        <w:tc>
          <w:tcPr>
            <w:tcW w:w="618" w:type="dxa"/>
            <w:vMerge w:val="restart"/>
            <w:tcBorders>
              <w:top w:val="single" w:color="auto" w:sz="8" w:space="0"/>
              <w:left w:val="single" w:color="auto" w:sz="2" w:space="0"/>
              <w:bottom w:val="single" w:color="auto" w:sz="2" w:space="0"/>
            </w:tcBorders>
            <w:vAlign w:val="center"/>
          </w:tcPr>
          <w:p>
            <w:pPr>
              <w:widowControl/>
              <w:ind w:left="-105" w:leftChars="-50" w:right="-105" w:rightChars="-50"/>
              <w:jc w:val="center"/>
              <w:rPr>
                <w:bCs/>
                <w:kern w:val="0"/>
                <w:sz w:val="18"/>
                <w:szCs w:val="18"/>
              </w:rPr>
            </w:pPr>
            <w:r>
              <w:rPr>
                <w:bCs/>
                <w:kern w:val="0"/>
                <w:sz w:val="18"/>
                <w:szCs w:val="18"/>
              </w:rPr>
              <w:t>煤制品</w:t>
            </w:r>
          </w:p>
        </w:tc>
      </w:tr>
      <w:tr>
        <w:tblPrEx>
          <w:tblLayout w:type="fixed"/>
          <w:tblCellMar>
            <w:top w:w="0" w:type="dxa"/>
            <w:left w:w="108" w:type="dxa"/>
            <w:bottom w:w="0" w:type="dxa"/>
            <w:right w:w="108" w:type="dxa"/>
          </w:tblCellMar>
        </w:tblPrEx>
        <w:trPr>
          <w:trHeight w:val="324" w:hRule="atLeast"/>
          <w:jc w:val="center"/>
        </w:trPr>
        <w:tc>
          <w:tcPr>
            <w:tcW w:w="2203" w:type="dxa"/>
            <w:vMerge w:val="continue"/>
            <w:tcBorders>
              <w:top w:val="single" w:color="auto" w:sz="2" w:space="0"/>
              <w:bottom w:val="single" w:color="auto" w:sz="2" w:space="0"/>
              <w:right w:val="single" w:color="auto" w:sz="2" w:space="0"/>
            </w:tcBorders>
            <w:vAlign w:val="center"/>
          </w:tcPr>
          <w:p>
            <w:pPr>
              <w:widowControl/>
              <w:ind w:left="-105" w:leftChars="-50" w:right="-105" w:rightChars="-50"/>
              <w:jc w:val="left"/>
              <w:rPr>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rPr>
                <w:bCs/>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840" w:type="dxa"/>
            <w:vMerge w:val="restart"/>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center"/>
              <w:rPr>
                <w:bCs/>
                <w:kern w:val="0"/>
                <w:sz w:val="18"/>
                <w:szCs w:val="18"/>
              </w:rPr>
            </w:pPr>
            <w:r>
              <w:rPr>
                <w:bCs/>
                <w:kern w:val="0"/>
                <w:sz w:val="18"/>
                <w:szCs w:val="18"/>
              </w:rPr>
              <w:t>无烟煤</w:t>
            </w:r>
          </w:p>
        </w:tc>
        <w:tc>
          <w:tcPr>
            <w:tcW w:w="1800" w:type="dxa"/>
            <w:gridSpan w:val="2"/>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center"/>
              <w:rPr>
                <w:bCs/>
                <w:kern w:val="0"/>
                <w:sz w:val="18"/>
                <w:szCs w:val="18"/>
              </w:rPr>
            </w:pPr>
            <w:r>
              <w:rPr>
                <w:bCs/>
                <w:kern w:val="0"/>
                <w:sz w:val="18"/>
                <w:szCs w:val="18"/>
              </w:rPr>
              <w:t>烟  煤</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widowControl/>
              <w:ind w:left="-107" w:leftChars="-51" w:right="-105" w:rightChars="-50" w:firstLine="1" w:firstLineChars="1"/>
              <w:jc w:val="center"/>
              <w:rPr>
                <w:bCs/>
                <w:kern w:val="0"/>
                <w:sz w:val="18"/>
                <w:szCs w:val="18"/>
              </w:rPr>
            </w:pPr>
            <w:r>
              <w:rPr>
                <w:bCs/>
                <w:kern w:val="0"/>
                <w:sz w:val="18"/>
                <w:szCs w:val="18"/>
              </w:rPr>
              <w:t>褐 煤</w:t>
            </w:r>
          </w:p>
        </w:tc>
        <w:tc>
          <w:tcPr>
            <w:tcW w:w="61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16"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18" w:type="dxa"/>
            <w:vMerge w:val="continue"/>
            <w:tcBorders>
              <w:top w:val="single" w:color="auto" w:sz="2" w:space="0"/>
              <w:left w:val="single" w:color="auto" w:sz="2" w:space="0"/>
              <w:bottom w:val="single" w:color="auto" w:sz="2" w:space="0"/>
            </w:tcBorders>
            <w:vAlign w:val="center"/>
          </w:tcPr>
          <w:p>
            <w:pPr>
              <w:widowControl/>
              <w:ind w:left="-105" w:leftChars="-50" w:right="-105" w:rightChars="-50"/>
              <w:jc w:val="left"/>
              <w:rPr>
                <w:bCs/>
                <w:kern w:val="0"/>
                <w:sz w:val="18"/>
                <w:szCs w:val="18"/>
              </w:rPr>
            </w:pPr>
          </w:p>
        </w:tc>
      </w:tr>
      <w:tr>
        <w:tblPrEx>
          <w:tblLayout w:type="fixed"/>
          <w:tblCellMar>
            <w:top w:w="0" w:type="dxa"/>
            <w:left w:w="108" w:type="dxa"/>
            <w:bottom w:w="0" w:type="dxa"/>
            <w:right w:w="108" w:type="dxa"/>
          </w:tblCellMar>
        </w:tblPrEx>
        <w:trPr>
          <w:trHeight w:val="338" w:hRule="atLeast"/>
          <w:jc w:val="center"/>
        </w:trPr>
        <w:tc>
          <w:tcPr>
            <w:tcW w:w="2203" w:type="dxa"/>
            <w:vMerge w:val="continue"/>
            <w:tcBorders>
              <w:top w:val="single" w:color="auto" w:sz="2" w:space="0"/>
              <w:bottom w:val="single" w:color="auto" w:sz="2" w:space="0"/>
              <w:right w:val="single" w:color="auto" w:sz="2" w:space="0"/>
            </w:tcBorders>
            <w:vAlign w:val="center"/>
          </w:tcPr>
          <w:p>
            <w:pPr>
              <w:widowControl/>
              <w:ind w:left="-105" w:leftChars="-50" w:right="-105" w:rightChars="-50"/>
              <w:jc w:val="left"/>
              <w:rPr>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rPr>
                <w:bCs/>
                <w:kern w:val="0"/>
                <w:sz w:val="18"/>
                <w:szCs w:val="18"/>
              </w:rPr>
            </w:pPr>
          </w:p>
        </w:tc>
        <w:tc>
          <w:tcPr>
            <w:tcW w:w="66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840"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center"/>
              <w:rPr>
                <w:bCs/>
                <w:kern w:val="0"/>
                <w:sz w:val="18"/>
                <w:szCs w:val="18"/>
              </w:rPr>
            </w:pPr>
          </w:p>
        </w:tc>
        <w:tc>
          <w:tcPr>
            <w:tcW w:w="900" w:type="dxa"/>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center"/>
              <w:rPr>
                <w:bCs/>
                <w:kern w:val="0"/>
                <w:sz w:val="18"/>
                <w:szCs w:val="18"/>
              </w:rPr>
            </w:pPr>
            <w:r>
              <w:rPr>
                <w:bCs/>
                <w:kern w:val="0"/>
                <w:sz w:val="18"/>
                <w:szCs w:val="18"/>
              </w:rPr>
              <w:t>炼焦烟煤</w:t>
            </w:r>
          </w:p>
        </w:tc>
        <w:tc>
          <w:tcPr>
            <w:tcW w:w="900" w:type="dxa"/>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center"/>
              <w:rPr>
                <w:bCs/>
                <w:kern w:val="0"/>
                <w:sz w:val="18"/>
                <w:szCs w:val="18"/>
              </w:rPr>
            </w:pPr>
            <w:r>
              <w:rPr>
                <w:bCs/>
                <w:kern w:val="0"/>
                <w:sz w:val="18"/>
                <w:szCs w:val="18"/>
              </w:rPr>
              <w:t>一般烟煤</w:t>
            </w: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center"/>
              <w:rPr>
                <w:bCs/>
                <w:kern w:val="0"/>
                <w:sz w:val="18"/>
                <w:szCs w:val="18"/>
              </w:rPr>
            </w:pPr>
          </w:p>
        </w:tc>
        <w:tc>
          <w:tcPr>
            <w:tcW w:w="615"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16" w:type="dxa"/>
            <w:vMerge w:val="continue"/>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left"/>
              <w:rPr>
                <w:bCs/>
                <w:kern w:val="0"/>
                <w:sz w:val="18"/>
                <w:szCs w:val="18"/>
              </w:rPr>
            </w:pPr>
          </w:p>
        </w:tc>
        <w:tc>
          <w:tcPr>
            <w:tcW w:w="618" w:type="dxa"/>
            <w:vMerge w:val="continue"/>
            <w:tcBorders>
              <w:top w:val="single" w:color="auto" w:sz="2" w:space="0"/>
              <w:left w:val="single" w:color="auto" w:sz="2" w:space="0"/>
              <w:bottom w:val="single" w:color="auto" w:sz="2" w:space="0"/>
            </w:tcBorders>
            <w:vAlign w:val="center"/>
          </w:tcPr>
          <w:p>
            <w:pPr>
              <w:widowControl/>
              <w:ind w:left="-105" w:leftChars="-50" w:right="-105" w:rightChars="-50"/>
              <w:jc w:val="left"/>
              <w:rPr>
                <w:bCs/>
                <w:kern w:val="0"/>
                <w:sz w:val="18"/>
                <w:szCs w:val="18"/>
              </w:rPr>
            </w:pPr>
          </w:p>
        </w:tc>
      </w:tr>
      <w:tr>
        <w:tblPrEx>
          <w:tblLayout w:type="fixed"/>
          <w:tblCellMar>
            <w:top w:w="0" w:type="dxa"/>
            <w:left w:w="108" w:type="dxa"/>
            <w:bottom w:w="0" w:type="dxa"/>
            <w:right w:w="108" w:type="dxa"/>
          </w:tblCellMar>
        </w:tblPrEx>
        <w:trPr>
          <w:trHeight w:val="306" w:hRule="atLeast"/>
          <w:jc w:val="center"/>
        </w:trPr>
        <w:tc>
          <w:tcPr>
            <w:tcW w:w="2203" w:type="dxa"/>
            <w:tcBorders>
              <w:top w:val="single" w:color="auto" w:sz="2" w:space="0"/>
              <w:left w:val="nil"/>
              <w:bottom w:val="single" w:color="auto" w:sz="2" w:space="0"/>
              <w:right w:val="single" w:color="auto" w:sz="2" w:space="0"/>
            </w:tcBorders>
            <w:vAlign w:val="center"/>
          </w:tcPr>
          <w:p>
            <w:pPr>
              <w:widowControl/>
              <w:ind w:left="-105" w:leftChars="-50" w:right="-105" w:rightChars="-50"/>
              <w:jc w:val="center"/>
              <w:rPr>
                <w:kern w:val="0"/>
                <w:sz w:val="18"/>
                <w:szCs w:val="18"/>
              </w:rPr>
            </w:pPr>
            <w:r>
              <w:rPr>
                <w:kern w:val="0"/>
                <w:sz w:val="18"/>
                <w:szCs w:val="18"/>
              </w:rPr>
              <w:t>甲</w:t>
            </w:r>
          </w:p>
        </w:tc>
        <w:tc>
          <w:tcPr>
            <w:tcW w:w="665" w:type="dxa"/>
            <w:tcBorders>
              <w:top w:val="single" w:color="auto" w:sz="2" w:space="0"/>
              <w:left w:val="single" w:color="auto" w:sz="2" w:space="0"/>
              <w:bottom w:val="single" w:color="auto" w:sz="2" w:space="0"/>
              <w:right w:val="single" w:color="auto" w:sz="2" w:space="0"/>
            </w:tcBorders>
            <w:vAlign w:val="center"/>
          </w:tcPr>
          <w:p>
            <w:pPr>
              <w:widowControl/>
              <w:ind w:left="-105" w:leftChars="-50" w:right="-105" w:rightChars="-50"/>
              <w:jc w:val="center"/>
              <w:rPr>
                <w:kern w:val="0"/>
                <w:sz w:val="18"/>
                <w:szCs w:val="18"/>
              </w:rPr>
            </w:pPr>
            <w:r>
              <w:rPr>
                <w:kern w:val="0"/>
                <w:sz w:val="18"/>
                <w:szCs w:val="18"/>
              </w:rPr>
              <w:t>乙</w:t>
            </w:r>
          </w:p>
        </w:tc>
        <w:tc>
          <w:tcPr>
            <w:tcW w:w="66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1</w:t>
            </w:r>
          </w:p>
        </w:tc>
        <w:tc>
          <w:tcPr>
            <w:tcW w:w="66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2</w:t>
            </w:r>
          </w:p>
        </w:tc>
        <w:tc>
          <w:tcPr>
            <w:tcW w:w="84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3</w:t>
            </w:r>
          </w:p>
        </w:tc>
        <w:tc>
          <w:tcPr>
            <w:tcW w:w="90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4</w:t>
            </w:r>
          </w:p>
        </w:tc>
        <w:tc>
          <w:tcPr>
            <w:tcW w:w="90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5</w:t>
            </w:r>
          </w:p>
        </w:tc>
        <w:tc>
          <w:tcPr>
            <w:tcW w:w="72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6</w:t>
            </w:r>
          </w:p>
        </w:tc>
        <w:tc>
          <w:tcPr>
            <w:tcW w:w="61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7</w:t>
            </w:r>
          </w:p>
        </w:tc>
        <w:tc>
          <w:tcPr>
            <w:tcW w:w="61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8</w:t>
            </w:r>
          </w:p>
        </w:tc>
        <w:tc>
          <w:tcPr>
            <w:tcW w:w="618" w:type="dxa"/>
            <w:tcBorders>
              <w:top w:val="single" w:color="auto" w:sz="2" w:space="0"/>
              <w:left w:val="single" w:color="auto" w:sz="2" w:space="0"/>
              <w:bottom w:val="single" w:color="auto" w:sz="2" w:space="0"/>
            </w:tcBorders>
            <w:vAlign w:val="center"/>
          </w:tcPr>
          <w:p>
            <w:pPr>
              <w:spacing w:line="240" w:lineRule="exact"/>
              <w:ind w:left="-105" w:leftChars="-50" w:right="-105" w:rightChars="-50"/>
              <w:jc w:val="center"/>
              <w:rPr>
                <w:rFonts w:ascii="宋体" w:hAnsi="宋体" w:cs="宋体"/>
                <w:sz w:val="18"/>
                <w:szCs w:val="18"/>
              </w:rPr>
            </w:pPr>
            <w:r>
              <w:rPr>
                <w:rFonts w:ascii="宋体" w:hAnsi="宋体" w:cs="宋体"/>
                <w:sz w:val="18"/>
                <w:szCs w:val="18"/>
              </w:rPr>
              <w:t>9</w:t>
            </w:r>
          </w:p>
        </w:tc>
      </w:tr>
      <w:tr>
        <w:tblPrEx>
          <w:tblLayout w:type="fixed"/>
          <w:tblCellMar>
            <w:top w:w="0" w:type="dxa"/>
            <w:left w:w="108" w:type="dxa"/>
            <w:bottom w:w="0" w:type="dxa"/>
            <w:right w:w="108" w:type="dxa"/>
          </w:tblCellMar>
        </w:tblPrEx>
        <w:trPr>
          <w:trHeight w:val="556" w:hRule="atLeast"/>
          <w:jc w:val="center"/>
        </w:trPr>
        <w:tc>
          <w:tcPr>
            <w:tcW w:w="2203" w:type="dxa"/>
            <w:tcBorders>
              <w:top w:val="single" w:color="auto" w:sz="2" w:space="0"/>
              <w:left w:val="nil"/>
              <w:bottom w:val="single" w:color="auto" w:sz="8" w:space="0"/>
              <w:right w:val="single" w:color="auto" w:sz="2" w:space="0"/>
            </w:tcBorders>
            <w:vAlign w:val="center"/>
          </w:tcPr>
          <w:p>
            <w:pPr>
              <w:widowControl/>
              <w:ind w:left="-50" w:right="-50"/>
              <w:rPr>
                <w:kern w:val="0"/>
                <w:sz w:val="18"/>
                <w:szCs w:val="18"/>
              </w:rPr>
            </w:pPr>
            <w:r>
              <w:rPr>
                <w:sz w:val="18"/>
                <w:szCs w:val="18"/>
              </w:rPr>
              <w:t>填报目录与P303-1表相同</w:t>
            </w:r>
          </w:p>
        </w:tc>
        <w:tc>
          <w:tcPr>
            <w:tcW w:w="665" w:type="dxa"/>
            <w:tcBorders>
              <w:top w:val="single" w:color="auto" w:sz="2" w:space="0"/>
              <w:left w:val="single" w:color="auto" w:sz="2" w:space="0"/>
              <w:bottom w:val="single" w:color="auto" w:sz="8" w:space="0"/>
            </w:tcBorders>
            <w:vAlign w:val="center"/>
          </w:tcPr>
          <w:p>
            <w:pPr>
              <w:widowControl/>
              <w:ind w:left="-50" w:right="-50"/>
              <w:jc w:val="center"/>
              <w:rPr>
                <w:kern w:val="0"/>
                <w:sz w:val="18"/>
                <w:szCs w:val="18"/>
              </w:rPr>
            </w:pPr>
          </w:p>
        </w:tc>
        <w:tc>
          <w:tcPr>
            <w:tcW w:w="6539" w:type="dxa"/>
            <w:gridSpan w:val="9"/>
            <w:tcBorders>
              <w:top w:val="single" w:color="auto" w:sz="2" w:space="0"/>
              <w:left w:val="single" w:color="auto" w:sz="2" w:space="0"/>
              <w:bottom w:val="single" w:color="auto" w:sz="8" w:space="0"/>
            </w:tcBorders>
            <w:vAlign w:val="center"/>
          </w:tcPr>
          <w:p>
            <w:pPr>
              <w:widowControl/>
              <w:ind w:left="-50" w:right="-50"/>
              <w:jc w:val="center"/>
              <w:rPr>
                <w:kern w:val="0"/>
                <w:sz w:val="18"/>
                <w:szCs w:val="18"/>
              </w:rPr>
            </w:pPr>
          </w:p>
        </w:tc>
      </w:tr>
    </w:tbl>
    <w:p>
      <w:pPr>
        <w:spacing w:line="400" w:lineRule="exact"/>
        <w:ind w:left="-50" w:leftChars="-24" w:right="-51" w:firstLine="48" w:firstLineChars="27"/>
        <w:rPr>
          <w:sz w:val="18"/>
          <w:szCs w:val="18"/>
        </w:rPr>
      </w:pPr>
      <w:r>
        <w:rPr>
          <w:sz w:val="18"/>
          <w:szCs w:val="18"/>
        </w:rPr>
        <w:t>续表一</w:t>
      </w:r>
    </w:p>
    <w:tbl>
      <w:tblPr>
        <w:tblStyle w:val="25"/>
        <w:tblW w:w="9407"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5"/>
        <w:gridCol w:w="855"/>
        <w:gridCol w:w="855"/>
        <w:gridCol w:w="855"/>
        <w:gridCol w:w="855"/>
        <w:gridCol w:w="856"/>
        <w:gridCol w:w="855"/>
        <w:gridCol w:w="855"/>
        <w:gridCol w:w="855"/>
        <w:gridCol w:w="855"/>
        <w:gridCol w:w="856"/>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55" w:type="dxa"/>
            <w:tcBorders>
              <w:bottom w:val="single" w:color="auto" w:sz="2" w:space="0"/>
            </w:tcBorders>
            <w:vAlign w:val="center"/>
          </w:tcPr>
          <w:p>
            <w:pPr>
              <w:ind w:right="-40"/>
              <w:jc w:val="center"/>
              <w:rPr>
                <w:sz w:val="18"/>
                <w:szCs w:val="18"/>
              </w:rPr>
            </w:pPr>
            <w:r>
              <w:rPr>
                <w:sz w:val="18"/>
                <w:szCs w:val="18"/>
              </w:rPr>
              <w:t>煤矸石</w:t>
            </w:r>
          </w:p>
        </w:tc>
        <w:tc>
          <w:tcPr>
            <w:tcW w:w="855" w:type="dxa"/>
            <w:tcBorders>
              <w:bottom w:val="single" w:color="auto" w:sz="2" w:space="0"/>
            </w:tcBorders>
            <w:vAlign w:val="center"/>
          </w:tcPr>
          <w:p>
            <w:pPr>
              <w:ind w:left="-50" w:right="-50"/>
              <w:jc w:val="center"/>
              <w:rPr>
                <w:sz w:val="18"/>
                <w:szCs w:val="18"/>
              </w:rPr>
            </w:pPr>
            <w:r>
              <w:rPr>
                <w:sz w:val="18"/>
                <w:szCs w:val="18"/>
              </w:rPr>
              <w:t>焦  炭</w:t>
            </w:r>
          </w:p>
        </w:tc>
        <w:tc>
          <w:tcPr>
            <w:tcW w:w="855" w:type="dxa"/>
            <w:tcBorders>
              <w:bottom w:val="single" w:color="auto" w:sz="2" w:space="0"/>
            </w:tcBorders>
            <w:vAlign w:val="center"/>
          </w:tcPr>
          <w:p>
            <w:pPr>
              <w:ind w:left="-50" w:right="-50"/>
              <w:jc w:val="center"/>
              <w:rPr>
                <w:sz w:val="18"/>
                <w:szCs w:val="18"/>
              </w:rPr>
            </w:pPr>
            <w:r>
              <w:rPr>
                <w:sz w:val="18"/>
                <w:szCs w:val="18"/>
              </w:rPr>
              <w:t>焦 炉</w:t>
            </w:r>
          </w:p>
          <w:p>
            <w:pPr>
              <w:ind w:left="-50" w:right="-50"/>
              <w:jc w:val="center"/>
              <w:rPr>
                <w:sz w:val="18"/>
                <w:szCs w:val="18"/>
              </w:rPr>
            </w:pPr>
            <w:r>
              <w:rPr>
                <w:sz w:val="18"/>
                <w:szCs w:val="18"/>
              </w:rPr>
              <w:t>煤 气</w:t>
            </w:r>
          </w:p>
        </w:tc>
        <w:tc>
          <w:tcPr>
            <w:tcW w:w="855" w:type="dxa"/>
            <w:tcBorders>
              <w:bottom w:val="single" w:color="auto" w:sz="2" w:space="0"/>
            </w:tcBorders>
            <w:vAlign w:val="center"/>
          </w:tcPr>
          <w:p>
            <w:pPr>
              <w:ind w:left="-50" w:right="-50"/>
              <w:jc w:val="center"/>
              <w:rPr>
                <w:sz w:val="18"/>
                <w:szCs w:val="18"/>
              </w:rPr>
            </w:pPr>
            <w:r>
              <w:rPr>
                <w:sz w:val="18"/>
                <w:szCs w:val="18"/>
              </w:rPr>
              <w:t>高 炉</w:t>
            </w:r>
          </w:p>
          <w:p>
            <w:pPr>
              <w:ind w:left="-50" w:right="-50"/>
              <w:jc w:val="center"/>
              <w:rPr>
                <w:sz w:val="18"/>
                <w:szCs w:val="18"/>
              </w:rPr>
            </w:pPr>
            <w:r>
              <w:rPr>
                <w:sz w:val="18"/>
                <w:szCs w:val="18"/>
              </w:rPr>
              <w:t>煤 气</w:t>
            </w:r>
          </w:p>
        </w:tc>
        <w:tc>
          <w:tcPr>
            <w:tcW w:w="855" w:type="dxa"/>
            <w:tcBorders>
              <w:bottom w:val="single" w:color="auto" w:sz="2" w:space="0"/>
            </w:tcBorders>
            <w:vAlign w:val="center"/>
          </w:tcPr>
          <w:p>
            <w:pPr>
              <w:ind w:left="-50" w:right="-50"/>
              <w:jc w:val="center"/>
              <w:rPr>
                <w:sz w:val="18"/>
                <w:szCs w:val="18"/>
              </w:rPr>
            </w:pPr>
            <w:r>
              <w:rPr>
                <w:sz w:val="18"/>
                <w:szCs w:val="18"/>
              </w:rPr>
              <w:t>转 炉</w:t>
            </w:r>
          </w:p>
          <w:p>
            <w:pPr>
              <w:ind w:left="-50" w:right="-50"/>
              <w:jc w:val="center"/>
              <w:rPr>
                <w:sz w:val="18"/>
                <w:szCs w:val="18"/>
              </w:rPr>
            </w:pPr>
            <w:r>
              <w:rPr>
                <w:sz w:val="18"/>
                <w:szCs w:val="18"/>
              </w:rPr>
              <w:t>煤 气</w:t>
            </w:r>
          </w:p>
        </w:tc>
        <w:tc>
          <w:tcPr>
            <w:tcW w:w="856" w:type="dxa"/>
            <w:tcBorders>
              <w:bottom w:val="single" w:color="auto" w:sz="2" w:space="0"/>
            </w:tcBorders>
            <w:vAlign w:val="center"/>
          </w:tcPr>
          <w:p>
            <w:pPr>
              <w:ind w:left="-50" w:right="-50"/>
              <w:jc w:val="center"/>
              <w:rPr>
                <w:sz w:val="18"/>
                <w:szCs w:val="18"/>
              </w:rPr>
            </w:pPr>
            <w:r>
              <w:rPr>
                <w:sz w:val="18"/>
                <w:szCs w:val="18"/>
              </w:rPr>
              <w:t>其 他</w:t>
            </w:r>
          </w:p>
          <w:p>
            <w:pPr>
              <w:ind w:left="-50" w:right="-50"/>
              <w:jc w:val="center"/>
              <w:rPr>
                <w:sz w:val="18"/>
                <w:szCs w:val="18"/>
              </w:rPr>
            </w:pPr>
            <w:r>
              <w:rPr>
                <w:sz w:val="18"/>
                <w:szCs w:val="18"/>
              </w:rPr>
              <w:t>煤 气</w:t>
            </w:r>
          </w:p>
        </w:tc>
        <w:tc>
          <w:tcPr>
            <w:tcW w:w="855" w:type="dxa"/>
            <w:tcBorders>
              <w:bottom w:val="single" w:color="auto" w:sz="2" w:space="0"/>
            </w:tcBorders>
            <w:vAlign w:val="center"/>
          </w:tcPr>
          <w:p>
            <w:pPr>
              <w:ind w:left="-50" w:right="-50"/>
              <w:jc w:val="center"/>
              <w:rPr>
                <w:sz w:val="18"/>
                <w:szCs w:val="18"/>
              </w:rPr>
            </w:pPr>
            <w:r>
              <w:rPr>
                <w:sz w:val="18"/>
                <w:szCs w:val="18"/>
              </w:rPr>
              <w:t>其    他　　　　　　　　　焦化产品</w:t>
            </w:r>
          </w:p>
        </w:tc>
        <w:tc>
          <w:tcPr>
            <w:tcW w:w="855" w:type="dxa"/>
            <w:tcBorders>
              <w:bottom w:val="single" w:color="auto" w:sz="2" w:space="0"/>
            </w:tcBorders>
            <w:vAlign w:val="center"/>
          </w:tcPr>
          <w:p>
            <w:pPr>
              <w:ind w:left="-50" w:right="-50"/>
              <w:jc w:val="center"/>
              <w:rPr>
                <w:sz w:val="18"/>
                <w:szCs w:val="18"/>
              </w:rPr>
            </w:pPr>
            <w:r>
              <w:rPr>
                <w:rFonts w:hint="eastAsia"/>
                <w:sz w:val="18"/>
                <w:szCs w:val="18"/>
              </w:rPr>
              <w:t>油</w:t>
            </w:r>
            <w:r>
              <w:rPr>
                <w:sz w:val="18"/>
                <w:szCs w:val="18"/>
              </w:rPr>
              <w:t xml:space="preserve"> </w:t>
            </w:r>
            <w:r>
              <w:rPr>
                <w:rFonts w:hint="eastAsia"/>
                <w:sz w:val="18"/>
                <w:szCs w:val="18"/>
              </w:rPr>
              <w:t>品</w:t>
            </w:r>
          </w:p>
          <w:p>
            <w:pPr>
              <w:ind w:left="-50" w:right="-50"/>
              <w:jc w:val="center"/>
              <w:rPr>
                <w:sz w:val="18"/>
                <w:szCs w:val="18"/>
              </w:rPr>
            </w:pPr>
            <w:r>
              <w:rPr>
                <w:sz w:val="18"/>
                <w:szCs w:val="18"/>
              </w:rPr>
              <w:t>合 计</w:t>
            </w:r>
          </w:p>
        </w:tc>
        <w:tc>
          <w:tcPr>
            <w:tcW w:w="855" w:type="dxa"/>
            <w:tcBorders>
              <w:bottom w:val="single" w:color="auto" w:sz="2" w:space="0"/>
            </w:tcBorders>
            <w:vAlign w:val="center"/>
          </w:tcPr>
          <w:p>
            <w:pPr>
              <w:ind w:left="-50" w:right="-50"/>
              <w:jc w:val="center"/>
              <w:rPr>
                <w:sz w:val="18"/>
                <w:szCs w:val="18"/>
              </w:rPr>
            </w:pPr>
            <w:r>
              <w:rPr>
                <w:sz w:val="18"/>
                <w:szCs w:val="18"/>
              </w:rPr>
              <w:t>原  油</w:t>
            </w:r>
          </w:p>
        </w:tc>
        <w:tc>
          <w:tcPr>
            <w:tcW w:w="855" w:type="dxa"/>
            <w:tcBorders>
              <w:bottom w:val="single" w:color="auto" w:sz="2" w:space="0"/>
            </w:tcBorders>
            <w:vAlign w:val="center"/>
          </w:tcPr>
          <w:p>
            <w:pPr>
              <w:ind w:left="-50" w:right="-50"/>
              <w:jc w:val="center"/>
              <w:rPr>
                <w:sz w:val="18"/>
                <w:szCs w:val="18"/>
              </w:rPr>
            </w:pPr>
            <w:r>
              <w:rPr>
                <w:sz w:val="18"/>
                <w:szCs w:val="18"/>
              </w:rPr>
              <w:t>汽  油</w:t>
            </w:r>
          </w:p>
        </w:tc>
        <w:tc>
          <w:tcPr>
            <w:tcW w:w="856" w:type="dxa"/>
            <w:tcBorders>
              <w:bottom w:val="single" w:color="auto" w:sz="2" w:space="0"/>
            </w:tcBorders>
            <w:vAlign w:val="center"/>
          </w:tcPr>
          <w:p>
            <w:pPr>
              <w:ind w:left="-50" w:right="-50"/>
              <w:jc w:val="center"/>
              <w:rPr>
                <w:sz w:val="18"/>
                <w:szCs w:val="18"/>
              </w:rPr>
            </w:pPr>
            <w:r>
              <w:rPr>
                <w:sz w:val="18"/>
                <w:szCs w:val="18"/>
              </w:rPr>
              <w:t>煤  油</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55"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10</w:t>
            </w:r>
          </w:p>
        </w:tc>
        <w:tc>
          <w:tcPr>
            <w:tcW w:w="855"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11</w:t>
            </w:r>
          </w:p>
        </w:tc>
        <w:tc>
          <w:tcPr>
            <w:tcW w:w="855"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12</w:t>
            </w:r>
          </w:p>
        </w:tc>
        <w:tc>
          <w:tcPr>
            <w:tcW w:w="855"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13</w:t>
            </w:r>
          </w:p>
        </w:tc>
        <w:tc>
          <w:tcPr>
            <w:tcW w:w="855"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14</w:t>
            </w:r>
          </w:p>
        </w:tc>
        <w:tc>
          <w:tcPr>
            <w:tcW w:w="856"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15</w:t>
            </w:r>
          </w:p>
        </w:tc>
        <w:tc>
          <w:tcPr>
            <w:tcW w:w="855"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16</w:t>
            </w:r>
          </w:p>
        </w:tc>
        <w:tc>
          <w:tcPr>
            <w:tcW w:w="855"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17</w:t>
            </w:r>
          </w:p>
        </w:tc>
        <w:tc>
          <w:tcPr>
            <w:tcW w:w="855"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18</w:t>
            </w:r>
          </w:p>
        </w:tc>
        <w:tc>
          <w:tcPr>
            <w:tcW w:w="855"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19</w:t>
            </w:r>
          </w:p>
        </w:tc>
        <w:tc>
          <w:tcPr>
            <w:tcW w:w="856"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20</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5" w:hRule="atLeast"/>
          <w:jc w:val="center"/>
        </w:trPr>
        <w:tc>
          <w:tcPr>
            <w:tcW w:w="9407" w:type="dxa"/>
            <w:gridSpan w:val="11"/>
            <w:tcBorders>
              <w:top w:val="single" w:color="auto" w:sz="2" w:space="0"/>
              <w:bottom w:val="single" w:color="auto" w:sz="8" w:space="0"/>
            </w:tcBorders>
            <w:vAlign w:val="center"/>
          </w:tcPr>
          <w:p>
            <w:pPr>
              <w:ind w:right="-40"/>
              <w:jc w:val="center"/>
              <w:rPr>
                <w:sz w:val="18"/>
                <w:szCs w:val="18"/>
              </w:rPr>
            </w:pPr>
          </w:p>
        </w:tc>
      </w:tr>
    </w:tbl>
    <w:p>
      <w:pPr>
        <w:spacing w:line="400" w:lineRule="exact"/>
        <w:ind w:left="-50" w:leftChars="-24" w:right="-51" w:firstLine="48" w:firstLineChars="27"/>
        <w:rPr>
          <w:sz w:val="18"/>
          <w:szCs w:val="18"/>
        </w:rPr>
      </w:pPr>
      <w:r>
        <w:rPr>
          <w:sz w:val="18"/>
          <w:szCs w:val="18"/>
        </w:rPr>
        <w:t>续表二</w:t>
      </w:r>
    </w:p>
    <w:tbl>
      <w:tblPr>
        <w:tblStyle w:val="25"/>
        <w:tblW w:w="9421"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6"/>
        <w:gridCol w:w="856"/>
        <w:gridCol w:w="857"/>
        <w:gridCol w:w="856"/>
        <w:gridCol w:w="857"/>
        <w:gridCol w:w="856"/>
        <w:gridCol w:w="857"/>
        <w:gridCol w:w="856"/>
        <w:gridCol w:w="857"/>
        <w:gridCol w:w="856"/>
        <w:gridCol w:w="857"/>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856" w:type="dxa"/>
            <w:tcBorders>
              <w:bottom w:val="single" w:color="auto" w:sz="2" w:space="0"/>
            </w:tcBorders>
            <w:vAlign w:val="center"/>
          </w:tcPr>
          <w:p>
            <w:pPr>
              <w:ind w:right="-40"/>
              <w:jc w:val="center"/>
              <w:rPr>
                <w:sz w:val="18"/>
                <w:szCs w:val="18"/>
              </w:rPr>
            </w:pPr>
            <w:r>
              <w:rPr>
                <w:sz w:val="18"/>
                <w:szCs w:val="18"/>
              </w:rPr>
              <w:t>柴  油</w:t>
            </w:r>
          </w:p>
        </w:tc>
        <w:tc>
          <w:tcPr>
            <w:tcW w:w="856" w:type="dxa"/>
            <w:tcBorders>
              <w:bottom w:val="single" w:color="auto" w:sz="2" w:space="0"/>
            </w:tcBorders>
            <w:vAlign w:val="center"/>
          </w:tcPr>
          <w:p>
            <w:pPr>
              <w:ind w:left="-50" w:right="-50"/>
              <w:jc w:val="center"/>
              <w:rPr>
                <w:sz w:val="18"/>
                <w:szCs w:val="18"/>
              </w:rPr>
            </w:pPr>
            <w:r>
              <w:rPr>
                <w:sz w:val="18"/>
                <w:szCs w:val="18"/>
              </w:rPr>
              <w:t>燃料油</w:t>
            </w:r>
          </w:p>
        </w:tc>
        <w:tc>
          <w:tcPr>
            <w:tcW w:w="857" w:type="dxa"/>
            <w:tcBorders>
              <w:bottom w:val="single" w:color="auto" w:sz="2" w:space="0"/>
            </w:tcBorders>
            <w:vAlign w:val="center"/>
          </w:tcPr>
          <w:p>
            <w:pPr>
              <w:ind w:left="-50" w:right="-50"/>
              <w:jc w:val="center"/>
              <w:rPr>
                <w:sz w:val="18"/>
                <w:szCs w:val="18"/>
              </w:rPr>
            </w:pPr>
            <w:r>
              <w:rPr>
                <w:sz w:val="18"/>
                <w:szCs w:val="18"/>
              </w:rPr>
              <w:t>石脑油</w:t>
            </w:r>
          </w:p>
        </w:tc>
        <w:tc>
          <w:tcPr>
            <w:tcW w:w="856" w:type="dxa"/>
            <w:tcBorders>
              <w:bottom w:val="single" w:color="auto" w:sz="2" w:space="0"/>
            </w:tcBorders>
            <w:vAlign w:val="center"/>
          </w:tcPr>
          <w:p>
            <w:pPr>
              <w:ind w:left="-50" w:right="-50"/>
              <w:jc w:val="center"/>
              <w:rPr>
                <w:sz w:val="18"/>
                <w:szCs w:val="18"/>
              </w:rPr>
            </w:pPr>
            <w:r>
              <w:rPr>
                <w:sz w:val="18"/>
                <w:szCs w:val="18"/>
              </w:rPr>
              <w:t>润滑油</w:t>
            </w:r>
          </w:p>
        </w:tc>
        <w:tc>
          <w:tcPr>
            <w:tcW w:w="857" w:type="dxa"/>
            <w:tcBorders>
              <w:bottom w:val="single" w:color="auto" w:sz="2" w:space="0"/>
            </w:tcBorders>
            <w:vAlign w:val="center"/>
          </w:tcPr>
          <w:p>
            <w:pPr>
              <w:ind w:left="-50" w:right="-50"/>
              <w:jc w:val="center"/>
              <w:rPr>
                <w:sz w:val="18"/>
                <w:szCs w:val="18"/>
              </w:rPr>
            </w:pPr>
            <w:r>
              <w:rPr>
                <w:sz w:val="18"/>
                <w:szCs w:val="18"/>
              </w:rPr>
              <w:t>石  蜡</w:t>
            </w:r>
          </w:p>
        </w:tc>
        <w:tc>
          <w:tcPr>
            <w:tcW w:w="856" w:type="dxa"/>
            <w:tcBorders>
              <w:bottom w:val="single" w:color="auto" w:sz="2" w:space="0"/>
            </w:tcBorders>
            <w:vAlign w:val="center"/>
          </w:tcPr>
          <w:p>
            <w:pPr>
              <w:ind w:left="-50" w:right="-50"/>
              <w:jc w:val="center"/>
              <w:rPr>
                <w:sz w:val="18"/>
                <w:szCs w:val="18"/>
              </w:rPr>
            </w:pPr>
            <w:r>
              <w:rPr>
                <w:sz w:val="18"/>
                <w:szCs w:val="18"/>
              </w:rPr>
              <w:t>溶剂油</w:t>
            </w:r>
          </w:p>
        </w:tc>
        <w:tc>
          <w:tcPr>
            <w:tcW w:w="857" w:type="dxa"/>
            <w:tcBorders>
              <w:bottom w:val="single" w:color="auto" w:sz="2" w:space="0"/>
            </w:tcBorders>
            <w:vAlign w:val="center"/>
          </w:tcPr>
          <w:p>
            <w:pPr>
              <w:ind w:left="-50" w:right="-50"/>
              <w:jc w:val="center"/>
              <w:rPr>
                <w:sz w:val="18"/>
                <w:szCs w:val="18"/>
              </w:rPr>
            </w:pPr>
            <w:r>
              <w:rPr>
                <w:sz w:val="18"/>
                <w:szCs w:val="18"/>
              </w:rPr>
              <w:t>石 油</w:t>
            </w:r>
          </w:p>
          <w:p>
            <w:pPr>
              <w:ind w:left="-50" w:right="-50"/>
              <w:jc w:val="center"/>
              <w:rPr>
                <w:sz w:val="18"/>
                <w:szCs w:val="18"/>
              </w:rPr>
            </w:pPr>
            <w:r>
              <w:rPr>
                <w:sz w:val="18"/>
                <w:szCs w:val="18"/>
              </w:rPr>
              <w:t>沥 青</w:t>
            </w:r>
          </w:p>
        </w:tc>
        <w:tc>
          <w:tcPr>
            <w:tcW w:w="856" w:type="dxa"/>
            <w:tcBorders>
              <w:bottom w:val="single" w:color="auto" w:sz="2" w:space="0"/>
            </w:tcBorders>
            <w:vAlign w:val="center"/>
          </w:tcPr>
          <w:p>
            <w:pPr>
              <w:ind w:left="-50" w:right="-50"/>
              <w:jc w:val="center"/>
              <w:rPr>
                <w:sz w:val="18"/>
                <w:szCs w:val="18"/>
              </w:rPr>
            </w:pPr>
            <w:r>
              <w:rPr>
                <w:sz w:val="18"/>
                <w:szCs w:val="18"/>
              </w:rPr>
              <w:t>石油焦</w:t>
            </w:r>
          </w:p>
        </w:tc>
        <w:tc>
          <w:tcPr>
            <w:tcW w:w="857" w:type="dxa"/>
            <w:tcBorders>
              <w:bottom w:val="single" w:color="auto" w:sz="2" w:space="0"/>
            </w:tcBorders>
            <w:vAlign w:val="center"/>
          </w:tcPr>
          <w:p>
            <w:pPr>
              <w:ind w:left="-50" w:right="-50"/>
              <w:jc w:val="center"/>
              <w:rPr>
                <w:sz w:val="18"/>
                <w:szCs w:val="18"/>
              </w:rPr>
            </w:pPr>
            <w:r>
              <w:rPr>
                <w:sz w:val="18"/>
                <w:szCs w:val="18"/>
              </w:rPr>
              <w:t>液  化　石油气</w:t>
            </w:r>
          </w:p>
        </w:tc>
        <w:tc>
          <w:tcPr>
            <w:tcW w:w="856" w:type="dxa"/>
            <w:tcBorders>
              <w:bottom w:val="single" w:color="auto" w:sz="2" w:space="0"/>
            </w:tcBorders>
            <w:vAlign w:val="center"/>
          </w:tcPr>
          <w:p>
            <w:pPr>
              <w:ind w:left="-50" w:right="-50"/>
              <w:jc w:val="center"/>
              <w:rPr>
                <w:sz w:val="18"/>
                <w:szCs w:val="18"/>
              </w:rPr>
            </w:pPr>
            <w:r>
              <w:rPr>
                <w:sz w:val="18"/>
                <w:szCs w:val="18"/>
              </w:rPr>
              <w:t>炼 厂</w:t>
            </w:r>
          </w:p>
          <w:p>
            <w:pPr>
              <w:ind w:left="-50" w:right="-50"/>
              <w:jc w:val="center"/>
              <w:rPr>
                <w:sz w:val="18"/>
                <w:szCs w:val="18"/>
              </w:rPr>
            </w:pPr>
            <w:r>
              <w:rPr>
                <w:sz w:val="18"/>
                <w:szCs w:val="18"/>
              </w:rPr>
              <w:t>干 气</w:t>
            </w:r>
          </w:p>
        </w:tc>
        <w:tc>
          <w:tcPr>
            <w:tcW w:w="857" w:type="dxa"/>
            <w:tcBorders>
              <w:bottom w:val="single" w:color="auto" w:sz="2" w:space="0"/>
            </w:tcBorders>
            <w:vAlign w:val="center"/>
          </w:tcPr>
          <w:p>
            <w:pPr>
              <w:ind w:left="-50" w:right="-50"/>
              <w:jc w:val="center"/>
              <w:rPr>
                <w:sz w:val="18"/>
                <w:szCs w:val="18"/>
              </w:rPr>
            </w:pPr>
            <w:r>
              <w:rPr>
                <w:sz w:val="18"/>
                <w:szCs w:val="18"/>
              </w:rPr>
              <w:t>其　　他　　　　　　　　　　　　　石油制品</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56"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21</w:t>
            </w:r>
          </w:p>
        </w:tc>
        <w:tc>
          <w:tcPr>
            <w:tcW w:w="856"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22</w:t>
            </w:r>
          </w:p>
        </w:tc>
        <w:tc>
          <w:tcPr>
            <w:tcW w:w="857"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23</w:t>
            </w:r>
          </w:p>
        </w:tc>
        <w:tc>
          <w:tcPr>
            <w:tcW w:w="856"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24</w:t>
            </w:r>
          </w:p>
        </w:tc>
        <w:tc>
          <w:tcPr>
            <w:tcW w:w="857"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25</w:t>
            </w:r>
          </w:p>
        </w:tc>
        <w:tc>
          <w:tcPr>
            <w:tcW w:w="856"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26</w:t>
            </w:r>
          </w:p>
        </w:tc>
        <w:tc>
          <w:tcPr>
            <w:tcW w:w="857"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27</w:t>
            </w:r>
          </w:p>
        </w:tc>
        <w:tc>
          <w:tcPr>
            <w:tcW w:w="856"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28</w:t>
            </w:r>
          </w:p>
        </w:tc>
        <w:tc>
          <w:tcPr>
            <w:tcW w:w="857"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29</w:t>
            </w:r>
          </w:p>
        </w:tc>
        <w:tc>
          <w:tcPr>
            <w:tcW w:w="856"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30</w:t>
            </w:r>
          </w:p>
        </w:tc>
        <w:tc>
          <w:tcPr>
            <w:tcW w:w="857"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31</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95" w:hRule="atLeast"/>
          <w:jc w:val="center"/>
        </w:trPr>
        <w:tc>
          <w:tcPr>
            <w:tcW w:w="9421" w:type="dxa"/>
            <w:gridSpan w:val="11"/>
            <w:tcBorders>
              <w:top w:val="single" w:color="auto" w:sz="2" w:space="0"/>
              <w:bottom w:val="single" w:color="auto" w:sz="8" w:space="0"/>
            </w:tcBorders>
            <w:vAlign w:val="center"/>
          </w:tcPr>
          <w:p>
            <w:pPr>
              <w:ind w:right="-40"/>
              <w:jc w:val="center"/>
              <w:rPr>
                <w:sz w:val="18"/>
                <w:szCs w:val="18"/>
              </w:rPr>
            </w:pPr>
          </w:p>
        </w:tc>
      </w:tr>
    </w:tbl>
    <w:p>
      <w:pPr>
        <w:spacing w:line="400" w:lineRule="exact"/>
        <w:ind w:left="-50" w:leftChars="-24" w:right="-51" w:firstLine="48" w:firstLineChars="27"/>
        <w:rPr>
          <w:sz w:val="18"/>
          <w:szCs w:val="18"/>
        </w:rPr>
      </w:pPr>
      <w:r>
        <w:rPr>
          <w:sz w:val="18"/>
          <w:szCs w:val="18"/>
        </w:rPr>
        <w:t>续表三</w:t>
      </w:r>
    </w:p>
    <w:tbl>
      <w:tblPr>
        <w:tblStyle w:val="25"/>
        <w:tblW w:w="9440"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36"/>
        <w:gridCol w:w="837"/>
        <w:gridCol w:w="837"/>
        <w:gridCol w:w="837"/>
        <w:gridCol w:w="837"/>
        <w:gridCol w:w="837"/>
        <w:gridCol w:w="884"/>
        <w:gridCol w:w="884"/>
        <w:gridCol w:w="883"/>
        <w:gridCol w:w="884"/>
        <w:gridCol w:w="884"/>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9" w:hRule="atLeast"/>
          <w:jc w:val="center"/>
        </w:trPr>
        <w:tc>
          <w:tcPr>
            <w:tcW w:w="836" w:type="dxa"/>
            <w:vMerge w:val="restart"/>
            <w:vAlign w:val="center"/>
          </w:tcPr>
          <w:p>
            <w:pPr>
              <w:ind w:right="-40"/>
              <w:jc w:val="center"/>
              <w:rPr>
                <w:sz w:val="18"/>
                <w:szCs w:val="18"/>
              </w:rPr>
            </w:pPr>
            <w:r>
              <w:rPr>
                <w:sz w:val="18"/>
                <w:szCs w:val="18"/>
              </w:rPr>
              <w:t>天然气</w:t>
            </w:r>
          </w:p>
        </w:tc>
        <w:tc>
          <w:tcPr>
            <w:tcW w:w="837" w:type="dxa"/>
            <w:vMerge w:val="restart"/>
            <w:vAlign w:val="center"/>
          </w:tcPr>
          <w:p>
            <w:pPr>
              <w:ind w:left="-50" w:right="-50"/>
              <w:jc w:val="center"/>
              <w:rPr>
                <w:sz w:val="18"/>
                <w:szCs w:val="18"/>
              </w:rPr>
            </w:pPr>
            <w:r>
              <w:rPr>
                <w:sz w:val="18"/>
                <w:szCs w:val="18"/>
              </w:rPr>
              <w:t>液  化     天然气</w:t>
            </w:r>
          </w:p>
        </w:tc>
        <w:tc>
          <w:tcPr>
            <w:tcW w:w="837" w:type="dxa"/>
            <w:vMerge w:val="restart"/>
            <w:vAlign w:val="center"/>
          </w:tcPr>
          <w:p>
            <w:pPr>
              <w:ind w:left="-50" w:right="-50"/>
              <w:jc w:val="center"/>
              <w:rPr>
                <w:sz w:val="18"/>
                <w:szCs w:val="18"/>
              </w:rPr>
            </w:pPr>
            <w:r>
              <w:rPr>
                <w:sz w:val="18"/>
                <w:szCs w:val="18"/>
              </w:rPr>
              <w:t>秸  秆</w:t>
            </w:r>
          </w:p>
        </w:tc>
        <w:tc>
          <w:tcPr>
            <w:tcW w:w="837" w:type="dxa"/>
            <w:vMerge w:val="restart"/>
            <w:vAlign w:val="center"/>
          </w:tcPr>
          <w:p>
            <w:pPr>
              <w:ind w:left="-50" w:right="-50"/>
              <w:jc w:val="center"/>
              <w:rPr>
                <w:sz w:val="18"/>
                <w:szCs w:val="18"/>
              </w:rPr>
            </w:pPr>
            <w:r>
              <w:rPr>
                <w:sz w:val="18"/>
                <w:szCs w:val="18"/>
              </w:rPr>
              <w:t>薪  柴</w:t>
            </w:r>
          </w:p>
        </w:tc>
        <w:tc>
          <w:tcPr>
            <w:tcW w:w="837" w:type="dxa"/>
            <w:vMerge w:val="restart"/>
            <w:vAlign w:val="center"/>
          </w:tcPr>
          <w:p>
            <w:pPr>
              <w:ind w:left="-50" w:right="-50"/>
              <w:jc w:val="center"/>
              <w:rPr>
                <w:sz w:val="18"/>
                <w:szCs w:val="18"/>
              </w:rPr>
            </w:pPr>
            <w:r>
              <w:rPr>
                <w:sz w:val="18"/>
                <w:szCs w:val="18"/>
              </w:rPr>
              <w:t>沼  气</w:t>
            </w:r>
          </w:p>
        </w:tc>
        <w:tc>
          <w:tcPr>
            <w:tcW w:w="837" w:type="dxa"/>
            <w:vMerge w:val="restart"/>
            <w:vAlign w:val="center"/>
          </w:tcPr>
          <w:p>
            <w:pPr>
              <w:ind w:left="-50" w:right="-50"/>
              <w:jc w:val="center"/>
              <w:rPr>
                <w:sz w:val="18"/>
                <w:szCs w:val="18"/>
              </w:rPr>
            </w:pPr>
            <w:r>
              <w:rPr>
                <w:sz w:val="18"/>
                <w:szCs w:val="18"/>
              </w:rPr>
              <w:t>热  力</w:t>
            </w:r>
          </w:p>
        </w:tc>
        <w:tc>
          <w:tcPr>
            <w:tcW w:w="1768" w:type="dxa"/>
            <w:gridSpan w:val="2"/>
            <w:vAlign w:val="center"/>
          </w:tcPr>
          <w:p>
            <w:pPr>
              <w:ind w:left="-50" w:right="-50"/>
              <w:jc w:val="center"/>
              <w:rPr>
                <w:sz w:val="18"/>
                <w:szCs w:val="18"/>
              </w:rPr>
            </w:pPr>
            <w:r>
              <w:rPr>
                <w:sz w:val="18"/>
                <w:szCs w:val="18"/>
              </w:rPr>
              <w:t>电力合计</w:t>
            </w:r>
          </w:p>
        </w:tc>
        <w:tc>
          <w:tcPr>
            <w:tcW w:w="883" w:type="dxa"/>
            <w:vMerge w:val="restart"/>
            <w:vAlign w:val="center"/>
          </w:tcPr>
          <w:p>
            <w:pPr>
              <w:ind w:left="-50" w:right="-50"/>
              <w:jc w:val="center"/>
              <w:rPr>
                <w:sz w:val="18"/>
                <w:szCs w:val="18"/>
              </w:rPr>
            </w:pPr>
            <w:r>
              <w:rPr>
                <w:sz w:val="18"/>
                <w:szCs w:val="18"/>
              </w:rPr>
              <w:t>其 他　　　　　　　　　　能 源</w:t>
            </w:r>
          </w:p>
        </w:tc>
        <w:tc>
          <w:tcPr>
            <w:tcW w:w="1768" w:type="dxa"/>
            <w:gridSpan w:val="2"/>
            <w:vAlign w:val="center"/>
          </w:tcPr>
          <w:p>
            <w:pPr>
              <w:ind w:left="-50" w:right="-50"/>
              <w:jc w:val="center"/>
              <w:rPr>
                <w:sz w:val="18"/>
                <w:szCs w:val="18"/>
              </w:rPr>
            </w:pPr>
            <w:r>
              <w:rPr>
                <w:sz w:val="18"/>
                <w:szCs w:val="18"/>
              </w:rPr>
              <w:t>合  计</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23" w:hRule="atLeast"/>
          <w:jc w:val="center"/>
        </w:trPr>
        <w:tc>
          <w:tcPr>
            <w:tcW w:w="836" w:type="dxa"/>
            <w:vMerge w:val="continue"/>
            <w:tcBorders>
              <w:bottom w:val="single" w:color="auto" w:sz="2" w:space="0"/>
            </w:tcBorders>
            <w:vAlign w:val="center"/>
          </w:tcPr>
          <w:p>
            <w:pPr>
              <w:ind w:right="-40"/>
              <w:jc w:val="center"/>
              <w:rPr>
                <w:sz w:val="18"/>
                <w:szCs w:val="18"/>
              </w:rPr>
            </w:pPr>
          </w:p>
        </w:tc>
        <w:tc>
          <w:tcPr>
            <w:tcW w:w="837" w:type="dxa"/>
            <w:vMerge w:val="continue"/>
            <w:tcBorders>
              <w:bottom w:val="single" w:color="auto" w:sz="2" w:space="0"/>
            </w:tcBorders>
            <w:vAlign w:val="center"/>
          </w:tcPr>
          <w:p>
            <w:pPr>
              <w:ind w:left="-50" w:right="-50"/>
              <w:jc w:val="center"/>
              <w:rPr>
                <w:sz w:val="18"/>
                <w:szCs w:val="18"/>
              </w:rPr>
            </w:pPr>
          </w:p>
        </w:tc>
        <w:tc>
          <w:tcPr>
            <w:tcW w:w="837" w:type="dxa"/>
            <w:vMerge w:val="continue"/>
            <w:tcBorders>
              <w:bottom w:val="single" w:color="auto" w:sz="2" w:space="0"/>
            </w:tcBorders>
            <w:vAlign w:val="center"/>
          </w:tcPr>
          <w:p>
            <w:pPr>
              <w:ind w:left="-50" w:right="-50"/>
              <w:jc w:val="center"/>
              <w:rPr>
                <w:sz w:val="18"/>
                <w:szCs w:val="18"/>
              </w:rPr>
            </w:pPr>
          </w:p>
        </w:tc>
        <w:tc>
          <w:tcPr>
            <w:tcW w:w="837" w:type="dxa"/>
            <w:vMerge w:val="continue"/>
            <w:tcBorders>
              <w:bottom w:val="single" w:color="auto" w:sz="2" w:space="0"/>
            </w:tcBorders>
            <w:vAlign w:val="center"/>
          </w:tcPr>
          <w:p>
            <w:pPr>
              <w:ind w:left="-50" w:right="-50"/>
              <w:jc w:val="center"/>
              <w:rPr>
                <w:sz w:val="18"/>
                <w:szCs w:val="18"/>
              </w:rPr>
            </w:pPr>
          </w:p>
        </w:tc>
        <w:tc>
          <w:tcPr>
            <w:tcW w:w="837" w:type="dxa"/>
            <w:vMerge w:val="continue"/>
            <w:tcBorders>
              <w:bottom w:val="single" w:color="auto" w:sz="2" w:space="0"/>
            </w:tcBorders>
            <w:vAlign w:val="center"/>
          </w:tcPr>
          <w:p>
            <w:pPr>
              <w:ind w:left="-50" w:right="-50"/>
              <w:jc w:val="center"/>
              <w:rPr>
                <w:sz w:val="18"/>
                <w:szCs w:val="18"/>
              </w:rPr>
            </w:pPr>
          </w:p>
        </w:tc>
        <w:tc>
          <w:tcPr>
            <w:tcW w:w="837" w:type="dxa"/>
            <w:vMerge w:val="continue"/>
            <w:tcBorders>
              <w:bottom w:val="single" w:color="auto" w:sz="2" w:space="0"/>
            </w:tcBorders>
            <w:vAlign w:val="center"/>
          </w:tcPr>
          <w:p>
            <w:pPr>
              <w:ind w:left="-50" w:right="-50"/>
              <w:jc w:val="center"/>
              <w:rPr>
                <w:sz w:val="18"/>
                <w:szCs w:val="18"/>
              </w:rPr>
            </w:pPr>
          </w:p>
        </w:tc>
        <w:tc>
          <w:tcPr>
            <w:tcW w:w="884" w:type="dxa"/>
            <w:tcBorders>
              <w:bottom w:val="single" w:color="auto" w:sz="2" w:space="0"/>
            </w:tcBorders>
            <w:vAlign w:val="center"/>
          </w:tcPr>
          <w:p>
            <w:pPr>
              <w:ind w:left="-50" w:right="-50"/>
              <w:jc w:val="center"/>
              <w:rPr>
                <w:sz w:val="18"/>
                <w:szCs w:val="18"/>
              </w:rPr>
            </w:pPr>
            <w:r>
              <w:rPr>
                <w:sz w:val="18"/>
                <w:szCs w:val="18"/>
              </w:rPr>
              <w:t>当量值</w:t>
            </w:r>
          </w:p>
        </w:tc>
        <w:tc>
          <w:tcPr>
            <w:tcW w:w="884" w:type="dxa"/>
            <w:tcBorders>
              <w:bottom w:val="single" w:color="auto" w:sz="2" w:space="0"/>
            </w:tcBorders>
            <w:vAlign w:val="center"/>
          </w:tcPr>
          <w:p>
            <w:pPr>
              <w:ind w:left="-50" w:right="-50"/>
              <w:jc w:val="center"/>
              <w:rPr>
                <w:sz w:val="18"/>
                <w:szCs w:val="18"/>
              </w:rPr>
            </w:pPr>
            <w:r>
              <w:rPr>
                <w:sz w:val="18"/>
                <w:szCs w:val="18"/>
              </w:rPr>
              <w:t>等价值</w:t>
            </w:r>
          </w:p>
        </w:tc>
        <w:tc>
          <w:tcPr>
            <w:tcW w:w="883" w:type="dxa"/>
            <w:vMerge w:val="continue"/>
            <w:tcBorders>
              <w:bottom w:val="single" w:color="auto" w:sz="2" w:space="0"/>
            </w:tcBorders>
            <w:vAlign w:val="center"/>
          </w:tcPr>
          <w:p>
            <w:pPr>
              <w:ind w:left="-50" w:right="-50"/>
              <w:jc w:val="center"/>
              <w:rPr>
                <w:sz w:val="18"/>
                <w:szCs w:val="18"/>
              </w:rPr>
            </w:pPr>
          </w:p>
        </w:tc>
        <w:tc>
          <w:tcPr>
            <w:tcW w:w="884" w:type="dxa"/>
            <w:tcBorders>
              <w:bottom w:val="single" w:color="auto" w:sz="2" w:space="0"/>
              <w:right w:val="single" w:color="auto" w:sz="4" w:space="0"/>
            </w:tcBorders>
            <w:vAlign w:val="center"/>
          </w:tcPr>
          <w:p>
            <w:pPr>
              <w:ind w:left="-50" w:right="-50"/>
              <w:jc w:val="center"/>
              <w:rPr>
                <w:sz w:val="18"/>
                <w:szCs w:val="18"/>
              </w:rPr>
            </w:pPr>
            <w:r>
              <w:rPr>
                <w:sz w:val="18"/>
                <w:szCs w:val="18"/>
              </w:rPr>
              <w:t>当量值</w:t>
            </w:r>
          </w:p>
        </w:tc>
        <w:tc>
          <w:tcPr>
            <w:tcW w:w="884" w:type="dxa"/>
            <w:tcBorders>
              <w:left w:val="single" w:color="auto" w:sz="4" w:space="0"/>
              <w:bottom w:val="single" w:color="auto" w:sz="2" w:space="0"/>
            </w:tcBorders>
            <w:vAlign w:val="center"/>
          </w:tcPr>
          <w:p>
            <w:pPr>
              <w:ind w:left="-50" w:right="-50"/>
              <w:jc w:val="center"/>
              <w:rPr>
                <w:sz w:val="18"/>
                <w:szCs w:val="18"/>
              </w:rPr>
            </w:pPr>
            <w:r>
              <w:rPr>
                <w:sz w:val="18"/>
                <w:szCs w:val="18"/>
              </w:rPr>
              <w:t>等价值</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jc w:val="center"/>
        </w:trPr>
        <w:tc>
          <w:tcPr>
            <w:tcW w:w="836"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32</w:t>
            </w:r>
          </w:p>
        </w:tc>
        <w:tc>
          <w:tcPr>
            <w:tcW w:w="837"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33</w:t>
            </w:r>
          </w:p>
        </w:tc>
        <w:tc>
          <w:tcPr>
            <w:tcW w:w="837"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34</w:t>
            </w:r>
          </w:p>
        </w:tc>
        <w:tc>
          <w:tcPr>
            <w:tcW w:w="837"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35</w:t>
            </w:r>
          </w:p>
        </w:tc>
        <w:tc>
          <w:tcPr>
            <w:tcW w:w="837"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36</w:t>
            </w:r>
          </w:p>
        </w:tc>
        <w:tc>
          <w:tcPr>
            <w:tcW w:w="837"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37</w:t>
            </w:r>
          </w:p>
        </w:tc>
        <w:tc>
          <w:tcPr>
            <w:tcW w:w="884"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38</w:t>
            </w:r>
          </w:p>
        </w:tc>
        <w:tc>
          <w:tcPr>
            <w:tcW w:w="884"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39</w:t>
            </w:r>
          </w:p>
        </w:tc>
        <w:tc>
          <w:tcPr>
            <w:tcW w:w="883"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40</w:t>
            </w:r>
          </w:p>
        </w:tc>
        <w:tc>
          <w:tcPr>
            <w:tcW w:w="884"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41</w:t>
            </w:r>
          </w:p>
        </w:tc>
        <w:tc>
          <w:tcPr>
            <w:tcW w:w="884" w:type="dxa"/>
            <w:tcBorders>
              <w:top w:val="single" w:color="auto" w:sz="2" w:space="0"/>
              <w:bottom w:val="single" w:color="auto" w:sz="2" w:space="0"/>
            </w:tcBorders>
            <w:vAlign w:val="center"/>
          </w:tcPr>
          <w:p>
            <w:pPr>
              <w:spacing w:line="240" w:lineRule="exact"/>
              <w:ind w:right="-40"/>
              <w:jc w:val="center"/>
              <w:textAlignment w:val="center"/>
              <w:rPr>
                <w:rFonts w:ascii="宋体" w:hAnsi="宋体" w:cs="宋体"/>
                <w:sz w:val="18"/>
                <w:szCs w:val="18"/>
              </w:rPr>
            </w:pPr>
            <w:r>
              <w:rPr>
                <w:rFonts w:ascii="宋体" w:hAnsi="宋体" w:cs="宋体"/>
                <w:sz w:val="18"/>
                <w:szCs w:val="18"/>
              </w:rPr>
              <w:t>42</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80" w:hRule="atLeast"/>
          <w:jc w:val="center"/>
        </w:trPr>
        <w:tc>
          <w:tcPr>
            <w:tcW w:w="9440" w:type="dxa"/>
            <w:gridSpan w:val="11"/>
            <w:tcBorders>
              <w:top w:val="single" w:color="auto" w:sz="2" w:space="0"/>
              <w:bottom w:val="single" w:color="auto" w:sz="8" w:space="0"/>
            </w:tcBorders>
            <w:vAlign w:val="center"/>
          </w:tcPr>
          <w:p>
            <w:pPr>
              <w:ind w:right="-40"/>
              <w:jc w:val="center"/>
              <w:rPr>
                <w:sz w:val="18"/>
                <w:szCs w:val="18"/>
              </w:rPr>
            </w:pPr>
          </w:p>
        </w:tc>
      </w:tr>
    </w:tbl>
    <w:p>
      <w:pPr>
        <w:ind w:right="-1234"/>
        <w:rPr>
          <w:sz w:val="18"/>
          <w:szCs w:val="18"/>
        </w:rPr>
      </w:pPr>
      <w:r>
        <w:rPr>
          <w:sz w:val="18"/>
          <w:szCs w:val="18"/>
        </w:rPr>
        <w:t xml:space="preserve">单位负责人：            填表人：          </w:t>
      </w:r>
      <w:r>
        <w:rPr>
          <w:rFonts w:hint="eastAsia"/>
          <w:sz w:val="18"/>
          <w:szCs w:val="18"/>
        </w:rPr>
        <w:t>联系电话</w:t>
      </w:r>
      <w:r>
        <w:rPr>
          <w:sz w:val="18"/>
          <w:szCs w:val="18"/>
        </w:rPr>
        <w:t>：                        报出日期：２０  年   月   日</w:t>
      </w:r>
    </w:p>
    <w:p>
      <w:pPr>
        <w:ind w:right="-40"/>
        <w:rPr>
          <w:b/>
          <w:sz w:val="18"/>
          <w:szCs w:val="18"/>
        </w:rPr>
      </w:pPr>
    </w:p>
    <w:p>
      <w:pPr>
        <w:spacing w:line="280" w:lineRule="exact"/>
        <w:ind w:left="648" w:hanging="648" w:hangingChars="360"/>
        <w:rPr>
          <w:rFonts w:ascii="宋体" w:hAnsi="宋体" w:cs="宋体"/>
          <w:sz w:val="18"/>
          <w:szCs w:val="18"/>
        </w:rPr>
      </w:pPr>
      <w:r>
        <w:rPr>
          <w:sz w:val="18"/>
          <w:szCs w:val="18"/>
        </w:rPr>
        <w:t>说明：</w:t>
      </w:r>
      <w:r>
        <w:rPr>
          <w:rFonts w:hint="eastAsia" w:ascii="宋体" w:hAnsi="宋体" w:cs="宋体"/>
          <w:sz w:val="18"/>
          <w:szCs w:val="18"/>
        </w:rPr>
        <w:t>1.本表的标准量是由P303-1表中的实物量乘以折标准煤系数生成，由</w:t>
      </w:r>
      <w:r>
        <w:rPr>
          <w:rFonts w:hint="eastAsia" w:ascii="宋体" w:hAnsi="宋体" w:cs="宋体"/>
          <w:sz w:val="18"/>
          <w:szCs w:val="18"/>
        </w:rPr>
        <w:t>各设区市和平潭综合实验区</w:t>
      </w:r>
      <w:r>
        <w:rPr>
          <w:rFonts w:hint="eastAsia" w:ascii="宋体" w:hAnsi="宋体" w:cs="宋体"/>
          <w:sz w:val="18"/>
          <w:szCs w:val="18"/>
        </w:rPr>
        <w:t>统计局负责报送。报送时间为次年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日前，报送方式为电子邮件。</w:t>
      </w:r>
    </w:p>
    <w:p>
      <w:pPr>
        <w:keepLines/>
        <w:spacing w:line="280" w:lineRule="exact"/>
        <w:ind w:right="-40" w:firstLine="466" w:firstLineChars="259"/>
        <w:rPr>
          <w:rFonts w:ascii="宋体" w:hAnsi="宋体" w:cs="宋体"/>
          <w:sz w:val="18"/>
          <w:szCs w:val="18"/>
        </w:rPr>
      </w:pPr>
      <w:r>
        <w:rPr>
          <w:rFonts w:hint="eastAsia" w:ascii="宋体" w:hAnsi="宋体" w:cs="宋体"/>
          <w:sz w:val="18"/>
          <w:szCs w:val="18"/>
        </w:rPr>
        <w:t>2.平衡关系：</w:t>
      </w:r>
    </w:p>
    <w:p>
      <w:pPr>
        <w:keepLines/>
        <w:spacing w:line="280" w:lineRule="exact"/>
        <w:ind w:right="-40" w:firstLine="466" w:firstLineChars="259"/>
        <w:rPr>
          <w:rFonts w:ascii="宋体" w:hAnsi="宋体" w:cs="宋体"/>
          <w:sz w:val="18"/>
          <w:szCs w:val="18"/>
        </w:rPr>
      </w:pPr>
      <w:r>
        <w:rPr>
          <w:rFonts w:hint="eastAsia" w:ascii="宋体" w:hAnsi="宋体" w:cs="宋体"/>
          <w:sz w:val="18"/>
          <w:szCs w:val="18"/>
        </w:rPr>
        <w:t xml:space="preserve">  </w:t>
      </w:r>
      <w:r>
        <w:rPr>
          <w:rFonts w:hint="eastAsia" w:ascii="宋体" w:hAnsi="宋体" w:cs="宋体"/>
          <w:sz w:val="18"/>
          <w:szCs w:val="18"/>
        </w:rPr>
        <w:t>列平衡关系</w:t>
      </w:r>
      <w:r>
        <w:rPr>
          <w:rFonts w:hint="eastAsia" w:ascii="宋体" w:hAnsi="宋体" w:cs="宋体"/>
          <w:sz w:val="18"/>
          <w:szCs w:val="18"/>
        </w:rPr>
        <w:t>：(</w:t>
      </w:r>
      <w:r>
        <w:rPr>
          <w:rFonts w:hint="eastAsia" w:ascii="宋体" w:hAnsi="宋体" w:cs="宋体"/>
          <w:sz w:val="18"/>
          <w:szCs w:val="18"/>
        </w:rPr>
        <w:t>1)合计当量值(41)=1+10+……+17+32+……+37+38+40</w:t>
      </w:r>
    </w:p>
    <w:p>
      <w:pPr>
        <w:spacing w:line="280" w:lineRule="exact"/>
        <w:ind w:right="-40" w:firstLine="826" w:firstLineChars="459"/>
        <w:rPr>
          <w:rFonts w:ascii="宋体" w:hAnsi="宋体" w:cs="宋体"/>
          <w:sz w:val="18"/>
          <w:szCs w:val="18"/>
        </w:rPr>
      </w:pPr>
      <w:r>
        <w:rPr>
          <w:rFonts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 xml:space="preserve">  </w:t>
      </w:r>
      <w:r>
        <w:rPr>
          <w:rFonts w:hint="eastAsia" w:ascii="宋体" w:hAnsi="宋体" w:cs="宋体"/>
          <w:sz w:val="18"/>
          <w:szCs w:val="18"/>
        </w:rPr>
        <w:t xml:space="preserve"> (2)合计等价值(42)=1+10+……+17+32+……+37+39+40</w:t>
      </w:r>
    </w:p>
    <w:p>
      <w:pPr>
        <w:spacing w:line="280" w:lineRule="exact"/>
        <w:ind w:left="0" w:leftChars="0" w:right="-40" w:firstLine="466" w:firstLineChars="259"/>
        <w:rPr>
          <w:rFonts w:ascii="宋体" w:hAnsi="宋体" w:cs="宋体"/>
          <w:sz w:val="18"/>
          <w:szCs w:val="18"/>
        </w:rPr>
      </w:pPr>
      <w:r>
        <w:rPr>
          <w:rFonts w:hint="eastAsia" w:ascii="宋体" w:hAnsi="宋体" w:cs="宋体"/>
          <w:sz w:val="18"/>
          <w:szCs w:val="18"/>
        </w:rPr>
        <w:t xml:space="preserve">  </w:t>
      </w:r>
      <w:r>
        <w:rPr>
          <w:rFonts w:hint="eastAsia" w:ascii="宋体" w:hAnsi="宋体" w:cs="宋体"/>
          <w:sz w:val="18"/>
          <w:szCs w:val="18"/>
        </w:rPr>
        <w:t>行平衡关系：40行第41列和第42列的消费量合计=加工转换投入产出(-11)+损失量(23)+终端消费量(25)</w:t>
      </w:r>
    </w:p>
    <w:p>
      <w:pPr>
        <w:numPr>
          <w:ins w:id="3" w:author="說鳯晤鱊" w:date="2019-11-12T13:39:00Z"/>
        </w:numPr>
        <w:spacing w:beforeLines="100" w:afterLines="100"/>
        <w:ind w:right="-40"/>
        <w:jc w:val="center"/>
        <w:rPr>
          <w:sz w:val="18"/>
          <w:szCs w:val="18"/>
        </w:rPr>
        <w:sectPr>
          <w:pgSz w:w="11906" w:h="16838"/>
          <w:pgMar w:top="851" w:right="1247" w:bottom="-113" w:left="1247" w:header="851" w:footer="992" w:gutter="0"/>
          <w:pgNumType w:fmt="numberInDash"/>
          <w:cols w:space="720" w:num="1"/>
          <w:docGrid w:linePitch="286" w:charSpace="0"/>
        </w:sectPr>
      </w:pPr>
    </w:p>
    <w:p>
      <w:pPr>
        <w:snapToGrid w:val="0"/>
        <w:ind w:right="-40"/>
        <w:jc w:val="center"/>
        <w:rPr>
          <w:rFonts w:eastAsia="黑体"/>
          <w:sz w:val="10"/>
          <w:szCs w:val="10"/>
        </w:rPr>
      </w:pPr>
    </w:p>
    <w:p>
      <w:pPr>
        <w:numPr>
          <w:ins w:id="4" w:author="說鳯晤鱊" w:date="2019-11-12T13:39:00Z"/>
        </w:numPr>
        <w:spacing w:afterLines="100" w:line="240" w:lineRule="auto"/>
        <w:ind w:right="-40"/>
        <w:jc w:val="center"/>
        <w:rPr>
          <w:rFonts w:eastAsia="黑体"/>
          <w:sz w:val="28"/>
          <w:szCs w:val="28"/>
        </w:rPr>
      </w:pPr>
      <w:r>
        <w:rPr>
          <w:rFonts w:hint="eastAsia" w:eastAsia="黑体"/>
          <w:sz w:val="28"/>
          <w:szCs w:val="28"/>
        </w:rPr>
        <w:t>（四）</w:t>
      </w:r>
      <w:r>
        <w:rPr>
          <w:rFonts w:eastAsia="黑体"/>
          <w:sz w:val="28"/>
          <w:szCs w:val="28"/>
        </w:rPr>
        <w:t>综合定报表式</w:t>
      </w:r>
    </w:p>
    <w:p>
      <w:pPr>
        <w:jc w:val="center"/>
        <w:outlineLvl w:val="2"/>
        <w:rPr>
          <w:sz w:val="32"/>
          <w:szCs w:val="32"/>
        </w:rPr>
      </w:pPr>
      <w:r>
        <w:rPr>
          <w:sz w:val="32"/>
          <w:szCs w:val="32"/>
        </w:rPr>
        <w:t>地区能源消费与单位GDP能耗</w:t>
      </w:r>
    </w:p>
    <w:tbl>
      <w:tblPr>
        <w:tblStyle w:val="25"/>
        <w:tblW w:w="9377" w:type="dxa"/>
        <w:jc w:val="center"/>
        <w:tblInd w:w="0" w:type="dxa"/>
        <w:tblLayout w:type="fixed"/>
        <w:tblCellMar>
          <w:top w:w="0" w:type="dxa"/>
          <w:left w:w="0" w:type="dxa"/>
          <w:bottom w:w="0" w:type="dxa"/>
          <w:right w:w="0" w:type="dxa"/>
        </w:tblCellMar>
      </w:tblPr>
      <w:tblGrid>
        <w:gridCol w:w="3565"/>
        <w:gridCol w:w="336"/>
        <w:gridCol w:w="2910"/>
        <w:gridCol w:w="868"/>
        <w:gridCol w:w="1698"/>
      </w:tblGrid>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336" w:type="dxa"/>
          </w:tcPr>
          <w:p>
            <w:pPr>
              <w:spacing w:line="260" w:lineRule="exact"/>
              <w:rPr>
                <w:sz w:val="18"/>
                <w:szCs w:val="18"/>
              </w:rPr>
            </w:pPr>
          </w:p>
        </w:tc>
        <w:tc>
          <w:tcPr>
            <w:tcW w:w="2910" w:type="dxa"/>
          </w:tcPr>
          <w:p>
            <w:pPr>
              <w:spacing w:line="260" w:lineRule="exact"/>
              <w:rPr>
                <w:sz w:val="18"/>
                <w:szCs w:val="18"/>
              </w:rPr>
            </w:pPr>
            <w:r>
              <w:rPr>
                <w:sz w:val="18"/>
                <w:szCs w:val="18"/>
              </w:rPr>
              <w:t>　　　　　　　　　　　　　</w:t>
            </w:r>
          </w:p>
        </w:tc>
        <w:tc>
          <w:tcPr>
            <w:tcW w:w="868" w:type="dxa"/>
            <w:tcMar>
              <w:left w:w="0" w:type="dxa"/>
              <w:right w:w="0" w:type="dxa"/>
            </w:tcMar>
          </w:tcPr>
          <w:p>
            <w:pPr>
              <w:spacing w:line="260" w:lineRule="exact"/>
              <w:rPr>
                <w:sz w:val="18"/>
                <w:szCs w:val="18"/>
              </w:rPr>
            </w:pPr>
            <w:r>
              <w:rPr>
                <w:sz w:val="18"/>
                <w:szCs w:val="18"/>
              </w:rPr>
              <w:t>表    号：</w:t>
            </w:r>
          </w:p>
        </w:tc>
        <w:tc>
          <w:tcPr>
            <w:tcW w:w="1698" w:type="dxa"/>
            <w:vAlign w:val="center"/>
          </w:tcPr>
          <w:p>
            <w:pPr>
              <w:spacing w:line="260" w:lineRule="exact"/>
              <w:jc w:val="distribute"/>
              <w:rPr>
                <w:spacing w:val="-2"/>
                <w:kern w:val="0"/>
                <w:sz w:val="18"/>
                <w:szCs w:val="18"/>
              </w:rPr>
            </w:pPr>
            <w:r>
              <w:rPr>
                <w:spacing w:val="-2"/>
                <w:kern w:val="0"/>
                <w:sz w:val="18"/>
                <w:szCs w:val="18"/>
              </w:rPr>
              <w:t>Ｐ４０６表</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336" w:type="dxa"/>
          </w:tcPr>
          <w:p>
            <w:pPr>
              <w:spacing w:line="260" w:lineRule="exact"/>
              <w:rPr>
                <w:sz w:val="18"/>
                <w:szCs w:val="18"/>
              </w:rPr>
            </w:pPr>
          </w:p>
        </w:tc>
        <w:tc>
          <w:tcPr>
            <w:tcW w:w="2910" w:type="dxa"/>
          </w:tcPr>
          <w:p>
            <w:pPr>
              <w:spacing w:line="260" w:lineRule="exact"/>
              <w:rPr>
                <w:sz w:val="18"/>
                <w:szCs w:val="18"/>
              </w:rPr>
            </w:pPr>
          </w:p>
        </w:tc>
        <w:tc>
          <w:tcPr>
            <w:tcW w:w="868" w:type="dxa"/>
            <w:tcMar>
              <w:left w:w="0" w:type="dxa"/>
              <w:right w:w="0" w:type="dxa"/>
            </w:tcMar>
            <w:vAlign w:val="center"/>
          </w:tcPr>
          <w:p>
            <w:pPr>
              <w:spacing w:line="260" w:lineRule="exact"/>
              <w:rPr>
                <w:sz w:val="18"/>
                <w:szCs w:val="18"/>
              </w:rPr>
            </w:pPr>
            <w:r>
              <w:rPr>
                <w:sz w:val="18"/>
                <w:szCs w:val="18"/>
              </w:rPr>
              <w:t>制定机关：</w:t>
            </w:r>
          </w:p>
        </w:tc>
        <w:tc>
          <w:tcPr>
            <w:tcW w:w="1698" w:type="dxa"/>
            <w:vAlign w:val="center"/>
          </w:tcPr>
          <w:p>
            <w:pPr>
              <w:spacing w:line="260" w:lineRule="exact"/>
              <w:jc w:val="distribute"/>
              <w:rPr>
                <w:spacing w:val="-2"/>
                <w:kern w:val="0"/>
                <w:sz w:val="18"/>
                <w:szCs w:val="18"/>
              </w:rPr>
            </w:pPr>
            <w:r>
              <w:rPr>
                <w:spacing w:val="-2"/>
                <w:kern w:val="0"/>
                <w:sz w:val="18"/>
                <w:szCs w:val="18"/>
              </w:rPr>
              <w:t>国 家 统 计 局</w:t>
            </w:r>
          </w:p>
        </w:tc>
      </w:tr>
      <w:tr>
        <w:tblPrEx>
          <w:tblLayout w:type="fixed"/>
          <w:tblCellMar>
            <w:top w:w="0" w:type="dxa"/>
            <w:left w:w="0" w:type="dxa"/>
            <w:bottom w:w="0" w:type="dxa"/>
            <w:right w:w="0" w:type="dxa"/>
          </w:tblCellMar>
        </w:tblPrEx>
        <w:trPr>
          <w:jc w:val="center"/>
        </w:trPr>
        <w:tc>
          <w:tcPr>
            <w:tcW w:w="3565" w:type="dxa"/>
          </w:tcPr>
          <w:p>
            <w:pPr>
              <w:spacing w:line="260" w:lineRule="exact"/>
              <w:jc w:val="left"/>
              <w:rPr>
                <w:sz w:val="18"/>
                <w:szCs w:val="18"/>
              </w:rPr>
            </w:pPr>
          </w:p>
        </w:tc>
        <w:tc>
          <w:tcPr>
            <w:tcW w:w="336" w:type="dxa"/>
          </w:tcPr>
          <w:p>
            <w:pPr>
              <w:spacing w:line="260" w:lineRule="exact"/>
              <w:rPr>
                <w:sz w:val="18"/>
                <w:szCs w:val="18"/>
              </w:rPr>
            </w:pPr>
          </w:p>
        </w:tc>
        <w:tc>
          <w:tcPr>
            <w:tcW w:w="2910" w:type="dxa"/>
          </w:tcPr>
          <w:p>
            <w:pPr>
              <w:spacing w:line="260" w:lineRule="exact"/>
              <w:rPr>
                <w:sz w:val="18"/>
                <w:szCs w:val="18"/>
              </w:rPr>
            </w:pPr>
          </w:p>
        </w:tc>
        <w:tc>
          <w:tcPr>
            <w:tcW w:w="868" w:type="dxa"/>
            <w:tcMar>
              <w:left w:w="0" w:type="dxa"/>
              <w:right w:w="0" w:type="dxa"/>
            </w:tcMar>
            <w:vAlign w:val="center"/>
          </w:tcPr>
          <w:p>
            <w:pPr>
              <w:spacing w:line="260" w:lineRule="exact"/>
              <w:rPr>
                <w:sz w:val="18"/>
                <w:szCs w:val="18"/>
              </w:rPr>
            </w:pPr>
            <w:r>
              <w:rPr>
                <w:sz w:val="18"/>
                <w:szCs w:val="18"/>
              </w:rPr>
              <w:t>文    号：</w:t>
            </w:r>
          </w:p>
        </w:tc>
        <w:tc>
          <w:tcPr>
            <w:tcW w:w="1698" w:type="dxa"/>
            <w:vAlign w:val="center"/>
          </w:tcPr>
          <w:p>
            <w:pPr>
              <w:spacing w:line="260" w:lineRule="exact"/>
              <w:jc w:val="distribute"/>
              <w:rPr>
                <w:spacing w:val="-2"/>
                <w:kern w:val="0"/>
                <w:sz w:val="18"/>
                <w:szCs w:val="18"/>
              </w:rPr>
            </w:pPr>
            <w:r>
              <w:rPr>
                <w:rFonts w:hint="eastAsia" w:ascii="宋体" w:hAnsi="宋体"/>
                <w:spacing w:val="-2"/>
                <w:kern w:val="0"/>
                <w:sz w:val="18"/>
                <w:szCs w:val="18"/>
              </w:rPr>
              <w:t>国统字〔2020〕105号</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r>
              <w:rPr>
                <w:sz w:val="18"/>
              </w:rPr>
              <w:t>综合机关名称：</w:t>
            </w:r>
          </w:p>
        </w:tc>
        <w:tc>
          <w:tcPr>
            <w:tcW w:w="336" w:type="dxa"/>
          </w:tcPr>
          <w:p>
            <w:pPr>
              <w:spacing w:line="260" w:lineRule="exact"/>
              <w:rPr>
                <w:sz w:val="18"/>
                <w:szCs w:val="18"/>
              </w:rPr>
            </w:pPr>
          </w:p>
        </w:tc>
        <w:tc>
          <w:tcPr>
            <w:tcW w:w="2910" w:type="dxa"/>
          </w:tcPr>
          <w:p>
            <w:pPr>
              <w:spacing w:line="260" w:lineRule="exact"/>
              <w:rPr>
                <w:sz w:val="18"/>
                <w:szCs w:val="18"/>
              </w:rPr>
            </w:pPr>
            <w:r>
              <w:rPr>
                <w:sz w:val="18"/>
                <w:szCs w:val="18"/>
              </w:rPr>
              <w:t>２０　　年 １</w:t>
            </w:r>
            <w:r>
              <w:rPr>
                <w:kern w:val="0"/>
                <w:sz w:val="18"/>
                <w:szCs w:val="18"/>
              </w:rPr>
              <w:t>－</w:t>
            </w:r>
            <w:r>
              <w:rPr>
                <w:sz w:val="18"/>
                <w:szCs w:val="18"/>
              </w:rPr>
              <w:t xml:space="preserve">   季　　　　　　　　　</w:t>
            </w:r>
          </w:p>
        </w:tc>
        <w:tc>
          <w:tcPr>
            <w:tcW w:w="868" w:type="dxa"/>
            <w:tcMar>
              <w:left w:w="0" w:type="dxa"/>
              <w:right w:w="0" w:type="dxa"/>
            </w:tcMar>
            <w:vAlign w:val="center"/>
          </w:tcPr>
          <w:p>
            <w:pPr>
              <w:spacing w:line="260" w:lineRule="exact"/>
              <w:rPr>
                <w:sz w:val="18"/>
                <w:szCs w:val="18"/>
              </w:rPr>
            </w:pPr>
            <w:r>
              <w:rPr>
                <w:sz w:val="18"/>
                <w:szCs w:val="18"/>
              </w:rPr>
              <w:t>有效期至：</w:t>
            </w:r>
          </w:p>
        </w:tc>
        <w:tc>
          <w:tcPr>
            <w:tcW w:w="1698" w:type="dxa"/>
            <w:vAlign w:val="center"/>
          </w:tcPr>
          <w:p>
            <w:pPr>
              <w:spacing w:line="260" w:lineRule="exact"/>
              <w:jc w:val="distribute"/>
              <w:rPr>
                <w:spacing w:val="-2"/>
                <w:kern w:val="0"/>
                <w:sz w:val="18"/>
                <w:szCs w:val="18"/>
              </w:rPr>
            </w:pPr>
            <w:r>
              <w:rPr>
                <w:spacing w:val="-2"/>
                <w:kern w:val="0"/>
                <w:sz w:val="18"/>
                <w:szCs w:val="18"/>
              </w:rPr>
              <w:t>２０２</w:t>
            </w:r>
            <w:r>
              <w:rPr>
                <w:rFonts w:hint="eastAsia"/>
                <w:spacing w:val="-2"/>
                <w:kern w:val="0"/>
                <w:sz w:val="18"/>
                <w:szCs w:val="18"/>
              </w:rPr>
              <w:t>２</w:t>
            </w:r>
            <w:r>
              <w:rPr>
                <w:spacing w:val="-2"/>
                <w:kern w:val="0"/>
                <w:sz w:val="18"/>
                <w:szCs w:val="18"/>
              </w:rPr>
              <w:t>年１月</w:t>
            </w:r>
          </w:p>
        </w:tc>
      </w:tr>
    </w:tbl>
    <w:p>
      <w:pPr>
        <w:spacing w:line="20" w:lineRule="exact"/>
        <w:jc w:val="center"/>
        <w:rPr>
          <w:sz w:val="32"/>
        </w:rPr>
      </w:pPr>
    </w:p>
    <w:tbl>
      <w:tblPr>
        <w:tblStyle w:val="25"/>
        <w:tblpPr w:leftFromText="180" w:rightFromText="180" w:vertAnchor="text" w:tblpXSpec="center" w:tblpY="1"/>
        <w:tblOverlap w:val="never"/>
        <w:tblW w:w="9408" w:type="dxa"/>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109"/>
        <w:gridCol w:w="1306"/>
        <w:gridCol w:w="537"/>
        <w:gridCol w:w="702"/>
        <w:gridCol w:w="702"/>
        <w:gridCol w:w="702"/>
        <w:gridCol w:w="720"/>
        <w:gridCol w:w="630"/>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0" w:hRule="exact"/>
        </w:trPr>
        <w:tc>
          <w:tcPr>
            <w:tcW w:w="4109" w:type="dxa"/>
            <w:vMerge w:val="restart"/>
            <w:tcBorders>
              <w:top w:val="single" w:color="auto" w:sz="8" w:space="0"/>
              <w:left w:val="nil"/>
              <w:bottom w:val="single" w:color="auto" w:sz="2" w:space="0"/>
              <w:right w:val="single" w:color="auto" w:sz="2" w:space="0"/>
            </w:tcBorders>
            <w:vAlign w:val="center"/>
          </w:tcPr>
          <w:p>
            <w:pPr>
              <w:ind w:firstLine="1"/>
              <w:jc w:val="center"/>
              <w:rPr>
                <w:sz w:val="18"/>
                <w:szCs w:val="18"/>
              </w:rPr>
            </w:pPr>
            <w:r>
              <w:rPr>
                <w:sz w:val="18"/>
                <w:szCs w:val="18"/>
              </w:rPr>
              <w:t>指标名称</w:t>
            </w:r>
          </w:p>
        </w:tc>
        <w:tc>
          <w:tcPr>
            <w:tcW w:w="1306"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计量单位</w:t>
            </w:r>
          </w:p>
        </w:tc>
        <w:tc>
          <w:tcPr>
            <w:tcW w:w="53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代码</w:t>
            </w:r>
          </w:p>
        </w:tc>
        <w:tc>
          <w:tcPr>
            <w:tcW w:w="702"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本  期</w:t>
            </w:r>
          </w:p>
        </w:tc>
        <w:tc>
          <w:tcPr>
            <w:tcW w:w="702"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上年</w:t>
            </w:r>
          </w:p>
          <w:p>
            <w:pPr>
              <w:jc w:val="center"/>
              <w:rPr>
                <w:sz w:val="18"/>
                <w:szCs w:val="18"/>
              </w:rPr>
            </w:pPr>
            <w:r>
              <w:rPr>
                <w:sz w:val="18"/>
                <w:szCs w:val="18"/>
              </w:rPr>
              <w:t>同期</w:t>
            </w:r>
          </w:p>
        </w:tc>
        <w:tc>
          <w:tcPr>
            <w:tcW w:w="702"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szCs w:val="18"/>
              </w:rPr>
            </w:pPr>
            <w:r>
              <w:rPr>
                <w:sz w:val="18"/>
                <w:szCs w:val="18"/>
              </w:rPr>
              <w:t>比上年同期增长(%)</w:t>
            </w:r>
          </w:p>
        </w:tc>
        <w:tc>
          <w:tcPr>
            <w:tcW w:w="1350" w:type="dxa"/>
            <w:gridSpan w:val="2"/>
            <w:tcBorders>
              <w:top w:val="single" w:color="auto" w:sz="8" w:space="0"/>
              <w:left w:val="single" w:color="auto" w:sz="2" w:space="0"/>
              <w:bottom w:val="single" w:color="auto" w:sz="2" w:space="0"/>
              <w:right w:val="nil"/>
            </w:tcBorders>
            <w:vAlign w:val="center"/>
          </w:tcPr>
          <w:p>
            <w:pPr>
              <w:jc w:val="center"/>
              <w:rPr>
                <w:sz w:val="18"/>
                <w:szCs w:val="18"/>
              </w:rPr>
            </w:pPr>
            <w:r>
              <w:rPr>
                <w:sz w:val="18"/>
                <w:szCs w:val="18"/>
              </w:rPr>
              <w:t>能耗比重(%)</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486" w:hRule="exact"/>
        </w:trPr>
        <w:tc>
          <w:tcPr>
            <w:tcW w:w="4109" w:type="dxa"/>
            <w:vMerge w:val="continue"/>
            <w:tcBorders>
              <w:top w:val="single" w:color="auto" w:sz="2" w:space="0"/>
              <w:left w:val="nil"/>
              <w:bottom w:val="single" w:color="auto" w:sz="2" w:space="0"/>
              <w:right w:val="single" w:color="auto" w:sz="2" w:space="0"/>
            </w:tcBorders>
            <w:vAlign w:val="center"/>
          </w:tcPr>
          <w:p>
            <w:pPr>
              <w:ind w:firstLine="1"/>
              <w:jc w:val="center"/>
              <w:rPr>
                <w:sz w:val="18"/>
                <w:szCs w:val="18"/>
              </w:rPr>
            </w:pPr>
          </w:p>
        </w:tc>
        <w:tc>
          <w:tcPr>
            <w:tcW w:w="1306"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53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702"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702"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702"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本期</w:t>
            </w:r>
          </w:p>
        </w:tc>
        <w:tc>
          <w:tcPr>
            <w:tcW w:w="630" w:type="dxa"/>
            <w:tcBorders>
              <w:top w:val="single" w:color="auto" w:sz="2" w:space="0"/>
              <w:left w:val="single" w:color="auto" w:sz="2" w:space="0"/>
              <w:bottom w:val="single" w:color="auto" w:sz="2" w:space="0"/>
              <w:right w:val="nil"/>
            </w:tcBorders>
            <w:vAlign w:val="center"/>
          </w:tcPr>
          <w:p>
            <w:pPr>
              <w:jc w:val="center"/>
              <w:rPr>
                <w:sz w:val="18"/>
                <w:szCs w:val="18"/>
              </w:rPr>
            </w:pPr>
            <w:r>
              <w:rPr>
                <w:sz w:val="18"/>
                <w:szCs w:val="18"/>
              </w:rPr>
              <w:t>上 年 同 期</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88" w:hRule="exact"/>
        </w:trPr>
        <w:tc>
          <w:tcPr>
            <w:tcW w:w="4109" w:type="dxa"/>
            <w:tcBorders>
              <w:top w:val="single" w:color="auto" w:sz="2" w:space="0"/>
              <w:left w:val="nil"/>
              <w:bottom w:val="single" w:color="auto" w:sz="2" w:space="0"/>
              <w:right w:val="single" w:color="auto" w:sz="2" w:space="0"/>
            </w:tcBorders>
            <w:vAlign w:val="center"/>
          </w:tcPr>
          <w:p>
            <w:pPr>
              <w:spacing w:line="240" w:lineRule="exact"/>
              <w:ind w:firstLine="1"/>
              <w:jc w:val="center"/>
              <w:textAlignment w:val="center"/>
              <w:rPr>
                <w:sz w:val="18"/>
                <w:szCs w:val="18"/>
              </w:rPr>
            </w:pPr>
            <w:r>
              <w:rPr>
                <w:sz w:val="18"/>
                <w:szCs w:val="18"/>
              </w:rPr>
              <w:t>甲</w:t>
            </w:r>
          </w:p>
        </w:tc>
        <w:tc>
          <w:tcPr>
            <w:tcW w:w="130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乙</w:t>
            </w:r>
          </w:p>
        </w:tc>
        <w:tc>
          <w:tcPr>
            <w:tcW w:w="53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丙</w:t>
            </w:r>
          </w:p>
        </w:tc>
        <w:tc>
          <w:tcPr>
            <w:tcW w:w="70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1</w:t>
            </w:r>
          </w:p>
        </w:tc>
        <w:tc>
          <w:tcPr>
            <w:tcW w:w="70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2</w:t>
            </w:r>
          </w:p>
        </w:tc>
        <w:tc>
          <w:tcPr>
            <w:tcW w:w="70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3</w:t>
            </w:r>
          </w:p>
        </w:tc>
        <w:tc>
          <w:tcPr>
            <w:tcW w:w="7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4</w:t>
            </w:r>
          </w:p>
        </w:tc>
        <w:tc>
          <w:tcPr>
            <w:tcW w:w="630" w:type="dxa"/>
            <w:tcBorders>
              <w:top w:val="single" w:color="auto" w:sz="2" w:space="0"/>
              <w:left w:val="single" w:color="auto" w:sz="2" w:space="0"/>
              <w:bottom w:val="single" w:color="auto" w:sz="2" w:space="0"/>
              <w:right w:val="nil"/>
            </w:tcBorders>
            <w:vAlign w:val="center"/>
          </w:tcPr>
          <w:p>
            <w:pPr>
              <w:spacing w:line="240" w:lineRule="exact"/>
              <w:jc w:val="center"/>
              <w:textAlignment w:val="center"/>
              <w:rPr>
                <w:sz w:val="18"/>
                <w:szCs w:val="18"/>
              </w:rPr>
            </w:pPr>
            <w:r>
              <w:rPr>
                <w:sz w:val="18"/>
                <w:szCs w:val="18"/>
              </w:rPr>
              <w:t>5</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single" w:color="auto" w:sz="2" w:space="0"/>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一、能源消费总量</w:t>
            </w:r>
          </w:p>
        </w:tc>
        <w:tc>
          <w:tcPr>
            <w:tcW w:w="1306" w:type="dxa"/>
            <w:tcBorders>
              <w:top w:val="single" w:color="auto" w:sz="2" w:space="0"/>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single" w:color="auto" w:sz="2" w:space="0"/>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01</w:t>
            </w:r>
          </w:p>
        </w:tc>
        <w:tc>
          <w:tcPr>
            <w:tcW w:w="702" w:type="dxa"/>
            <w:tcBorders>
              <w:top w:val="single" w:color="auto" w:sz="2" w:space="0"/>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single" w:color="auto" w:sz="2" w:space="0"/>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single" w:color="auto" w:sz="2" w:space="0"/>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single" w:color="auto" w:sz="2" w:space="0"/>
              <w:left w:val="nil"/>
              <w:bottom w:val="nil"/>
              <w:right w:val="nil"/>
            </w:tcBorders>
            <w:vAlign w:val="center"/>
          </w:tcPr>
          <w:p>
            <w:pPr>
              <w:spacing w:line="240" w:lineRule="exact"/>
              <w:jc w:val="center"/>
              <w:textAlignment w:val="center"/>
              <w:rPr>
                <w:rFonts w:ascii="宋体" w:hAnsi="宋体"/>
                <w:sz w:val="18"/>
                <w:szCs w:val="18"/>
              </w:rPr>
            </w:pPr>
            <w:r>
              <w:rPr>
                <w:rFonts w:ascii="宋体" w:hAnsi="宋体"/>
                <w:sz w:val="18"/>
                <w:szCs w:val="18"/>
              </w:rPr>
              <w:t>100</w:t>
            </w:r>
          </w:p>
        </w:tc>
        <w:tc>
          <w:tcPr>
            <w:tcW w:w="630" w:type="dxa"/>
            <w:tcBorders>
              <w:top w:val="single" w:color="auto" w:sz="2" w:space="0"/>
              <w:left w:val="nil"/>
              <w:bottom w:val="nil"/>
              <w:right w:val="nil"/>
            </w:tcBorders>
            <w:vAlign w:val="center"/>
          </w:tcPr>
          <w:p>
            <w:pPr>
              <w:spacing w:line="240" w:lineRule="exact"/>
              <w:jc w:val="center"/>
              <w:textAlignment w:val="center"/>
              <w:rPr>
                <w:rFonts w:ascii="宋体" w:hAnsi="宋体"/>
                <w:sz w:val="18"/>
                <w:szCs w:val="18"/>
              </w:rPr>
            </w:pPr>
            <w:r>
              <w:rPr>
                <w:rFonts w:ascii="宋体" w:hAnsi="宋体"/>
                <w:sz w:val="18"/>
                <w:szCs w:val="18"/>
              </w:rPr>
              <w:t>100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80" w:firstLineChars="100"/>
              <w:textAlignment w:val="center"/>
              <w:rPr>
                <w:rFonts w:ascii="宋体" w:hAnsi="宋体"/>
                <w:sz w:val="18"/>
                <w:szCs w:val="18"/>
              </w:rPr>
            </w:pPr>
            <w:r>
              <w:rPr>
                <w:rFonts w:hint="eastAsia" w:ascii="宋体" w:hAnsi="宋体"/>
                <w:sz w:val="18"/>
                <w:szCs w:val="18"/>
              </w:rPr>
              <w:t>（</w:t>
            </w:r>
            <w:r>
              <w:rPr>
                <w:rFonts w:ascii="宋体" w:hAnsi="宋体"/>
                <w:sz w:val="18"/>
                <w:szCs w:val="18"/>
              </w:rPr>
              <w:t>一</w:t>
            </w:r>
            <w:r>
              <w:rPr>
                <w:rFonts w:hint="eastAsia" w:ascii="宋体" w:hAnsi="宋体"/>
                <w:sz w:val="18"/>
                <w:szCs w:val="18"/>
              </w:rPr>
              <w:t>）</w:t>
            </w:r>
            <w:r>
              <w:rPr>
                <w:rFonts w:ascii="宋体" w:hAnsi="宋体"/>
                <w:sz w:val="18"/>
                <w:szCs w:val="18"/>
              </w:rPr>
              <w:t>农、林、牧、渔业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02</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80" w:firstLineChars="100"/>
              <w:textAlignment w:val="center"/>
              <w:rPr>
                <w:rFonts w:ascii="宋体" w:hAnsi="宋体"/>
                <w:sz w:val="18"/>
                <w:szCs w:val="18"/>
              </w:rPr>
            </w:pPr>
            <w:r>
              <w:rPr>
                <w:rFonts w:hint="eastAsia" w:ascii="宋体" w:hAnsi="宋体"/>
                <w:sz w:val="18"/>
                <w:szCs w:val="18"/>
              </w:rPr>
              <w:t>（</w:t>
            </w:r>
            <w:r>
              <w:rPr>
                <w:rFonts w:ascii="宋体" w:hAnsi="宋体"/>
                <w:sz w:val="18"/>
                <w:szCs w:val="18"/>
              </w:rPr>
              <w:t>二</w:t>
            </w:r>
            <w:r>
              <w:rPr>
                <w:rFonts w:hint="eastAsia" w:ascii="宋体" w:hAnsi="宋体"/>
                <w:sz w:val="18"/>
                <w:szCs w:val="18"/>
              </w:rPr>
              <w:t>）</w:t>
            </w:r>
            <w:r>
              <w:rPr>
                <w:rFonts w:ascii="宋体" w:hAnsi="宋体"/>
                <w:sz w:val="18"/>
                <w:szCs w:val="18"/>
              </w:rPr>
              <w:t>工业和建筑业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03</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360" w:firstLineChars="200"/>
              <w:textAlignment w:val="center"/>
              <w:rPr>
                <w:rFonts w:ascii="宋体" w:hAnsi="宋体"/>
                <w:sz w:val="18"/>
                <w:szCs w:val="18"/>
              </w:rPr>
            </w:pPr>
            <w:r>
              <w:rPr>
                <w:rFonts w:ascii="宋体" w:hAnsi="宋体"/>
                <w:sz w:val="18"/>
                <w:szCs w:val="18"/>
              </w:rPr>
              <w:t xml:space="preserve">  1.工业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04</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540" w:firstLineChars="300"/>
              <w:textAlignment w:val="center"/>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规模以上工业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05</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540" w:firstLineChars="300"/>
              <w:textAlignment w:val="center"/>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规模以下工业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06</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 xml:space="preserve">      2.建筑业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07</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80" w:firstLineChars="100"/>
              <w:textAlignment w:val="center"/>
              <w:rPr>
                <w:rFonts w:ascii="宋体" w:hAnsi="宋体"/>
                <w:sz w:val="18"/>
                <w:szCs w:val="18"/>
              </w:rPr>
            </w:pPr>
            <w:r>
              <w:rPr>
                <w:rFonts w:hint="eastAsia" w:ascii="宋体" w:hAnsi="宋体"/>
                <w:sz w:val="18"/>
                <w:szCs w:val="18"/>
              </w:rPr>
              <w:t>（</w:t>
            </w:r>
            <w:r>
              <w:rPr>
                <w:rFonts w:ascii="宋体" w:hAnsi="宋体"/>
                <w:sz w:val="18"/>
                <w:szCs w:val="18"/>
              </w:rPr>
              <w:t>三</w:t>
            </w:r>
            <w:r>
              <w:rPr>
                <w:rFonts w:hint="eastAsia" w:ascii="宋体" w:hAnsi="宋体"/>
                <w:sz w:val="18"/>
                <w:szCs w:val="18"/>
              </w:rPr>
              <w:t>）</w:t>
            </w:r>
            <w:r>
              <w:rPr>
                <w:rFonts w:ascii="宋体" w:hAnsi="宋体"/>
                <w:sz w:val="18"/>
                <w:szCs w:val="18"/>
              </w:rPr>
              <w:t>服务业</w:t>
            </w:r>
            <w:r>
              <w:rPr>
                <w:rFonts w:hint="eastAsia" w:ascii="宋体" w:hAnsi="宋体"/>
                <w:kern w:val="0"/>
                <w:sz w:val="18"/>
                <w:szCs w:val="18"/>
                <w:vertAlign w:val="superscript"/>
              </w:rPr>
              <w:t>*</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08</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 xml:space="preserve">      1.交通运输、仓储和邮政业</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09</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540" w:firstLineChars="300"/>
              <w:textAlignment w:val="center"/>
              <w:rPr>
                <w:rFonts w:ascii="宋体" w:hAnsi="宋体"/>
                <w:sz w:val="18"/>
                <w:szCs w:val="18"/>
              </w:rPr>
            </w:pPr>
            <w:r>
              <w:rPr>
                <w:rFonts w:ascii="宋体" w:hAnsi="宋体"/>
                <w:sz w:val="18"/>
                <w:szCs w:val="18"/>
              </w:rPr>
              <w:t>2.服务业</w:t>
            </w:r>
            <w:r>
              <w:rPr>
                <w:rFonts w:ascii="宋体" w:hAnsi="宋体"/>
                <w:sz w:val="18"/>
                <w:szCs w:val="18"/>
                <w:vertAlign w:val="superscript"/>
              </w:rPr>
              <w:t>*</w:t>
            </w:r>
            <w:r>
              <w:rPr>
                <w:rFonts w:hint="eastAsia" w:ascii="宋体" w:hAnsi="宋体"/>
                <w:sz w:val="18"/>
                <w:szCs w:val="18"/>
              </w:rPr>
              <w:t>（</w:t>
            </w:r>
            <w:r>
              <w:rPr>
                <w:rFonts w:ascii="宋体" w:hAnsi="宋体"/>
                <w:sz w:val="18"/>
                <w:szCs w:val="18"/>
              </w:rPr>
              <w:t>不含交通运输、仓储和邮政业</w:t>
            </w:r>
            <w:r>
              <w:rPr>
                <w:rFonts w:hint="eastAsia" w:ascii="宋体" w:hAnsi="宋体"/>
                <w:sz w:val="18"/>
                <w:szCs w:val="18"/>
              </w:rPr>
              <w:t>）</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hint="eastAsia"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hint="eastAsia" w:ascii="宋体" w:hAnsi="宋体"/>
                <w:sz w:val="18"/>
                <w:szCs w:val="18"/>
              </w:rPr>
              <w:t>10</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80" w:firstLineChars="100"/>
              <w:textAlignment w:val="center"/>
              <w:rPr>
                <w:rFonts w:ascii="宋体" w:hAnsi="宋体"/>
                <w:sz w:val="18"/>
                <w:szCs w:val="18"/>
              </w:rPr>
            </w:pPr>
            <w:r>
              <w:rPr>
                <w:rFonts w:hint="eastAsia" w:ascii="宋体" w:hAnsi="宋体"/>
                <w:sz w:val="18"/>
                <w:szCs w:val="18"/>
              </w:rPr>
              <w:t>（</w:t>
            </w:r>
            <w:r>
              <w:rPr>
                <w:rFonts w:ascii="宋体" w:hAnsi="宋体"/>
                <w:sz w:val="18"/>
                <w:szCs w:val="18"/>
              </w:rPr>
              <w:t>四</w:t>
            </w:r>
            <w:r>
              <w:rPr>
                <w:rFonts w:hint="eastAsia" w:ascii="宋体" w:hAnsi="宋体"/>
                <w:sz w:val="18"/>
                <w:szCs w:val="18"/>
              </w:rPr>
              <w:t>）</w:t>
            </w:r>
            <w:r>
              <w:rPr>
                <w:rFonts w:ascii="宋体" w:hAnsi="宋体"/>
                <w:sz w:val="18"/>
                <w:szCs w:val="18"/>
              </w:rPr>
              <w:t>居民生活</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11</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 xml:space="preserve">      1.</w:t>
            </w:r>
            <w:r>
              <w:rPr>
                <w:rFonts w:hint="eastAsia" w:ascii="宋体" w:hAnsi="宋体"/>
                <w:sz w:val="18"/>
                <w:szCs w:val="18"/>
              </w:rPr>
              <w:t>城镇</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12</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 xml:space="preserve">      2.</w:t>
            </w:r>
            <w:r>
              <w:rPr>
                <w:rFonts w:hint="eastAsia" w:ascii="宋体" w:hAnsi="宋体"/>
                <w:sz w:val="18"/>
                <w:szCs w:val="18"/>
              </w:rPr>
              <w:t>乡村</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万吨标准煤</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13</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630" w:type="dxa"/>
            <w:tcBorders>
              <w:top w:val="nil"/>
              <w:left w:val="nil"/>
              <w:bottom w:val="nil"/>
              <w:right w:val="nil"/>
            </w:tcBorders>
            <w:vAlign w:val="center"/>
          </w:tcPr>
          <w:p>
            <w:pPr>
              <w:spacing w:line="240" w:lineRule="exact"/>
              <w:jc w:val="center"/>
              <w:textAlignment w:val="center"/>
              <w:rPr>
                <w:rFonts w:ascii="宋体" w:hAnsi="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二、GDP</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亿元</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14</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36" w:lineRule="exact"/>
              <w:jc w:val="center"/>
              <w:rPr>
                <w:rFonts w:ascii="宋体" w:hAnsi="宋体"/>
                <w:sz w:val="18"/>
                <w:szCs w:val="18"/>
              </w:rPr>
            </w:pPr>
            <w:r>
              <w:rPr>
                <w:rFonts w:ascii="宋体" w:hAnsi="宋体"/>
                <w:sz w:val="18"/>
                <w:szCs w:val="18"/>
              </w:rPr>
              <w:t>—</w:t>
            </w:r>
          </w:p>
        </w:tc>
        <w:tc>
          <w:tcPr>
            <w:tcW w:w="630" w:type="dxa"/>
            <w:tcBorders>
              <w:top w:val="nil"/>
              <w:left w:val="nil"/>
              <w:bottom w:val="nil"/>
              <w:right w:val="nil"/>
            </w:tcBorders>
            <w:vAlign w:val="center"/>
          </w:tcPr>
          <w:p>
            <w:pPr>
              <w:spacing w:line="236" w:lineRule="exact"/>
              <w:jc w:val="center"/>
              <w:rPr>
                <w:rFonts w:ascii="宋体" w:hAnsi="宋体"/>
                <w:sz w:val="18"/>
                <w:szCs w:val="18"/>
              </w:rPr>
            </w:pPr>
            <w:r>
              <w:rPr>
                <w:rFonts w:ascii="宋体" w:hAnsi="宋体"/>
                <w:sz w:val="18"/>
                <w:szCs w:val="18"/>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2" w:space="0"/>
            </w:tcBorders>
            <w:vAlign w:val="center"/>
          </w:tcPr>
          <w:p>
            <w:pPr>
              <w:spacing w:line="240" w:lineRule="exact"/>
              <w:ind w:firstLine="1"/>
              <w:textAlignment w:val="center"/>
              <w:rPr>
                <w:rFonts w:ascii="宋体" w:hAnsi="宋体"/>
                <w:sz w:val="18"/>
                <w:szCs w:val="18"/>
              </w:rPr>
            </w:pPr>
            <w:r>
              <w:rPr>
                <w:rFonts w:ascii="宋体" w:hAnsi="宋体"/>
                <w:sz w:val="18"/>
                <w:szCs w:val="18"/>
              </w:rPr>
              <w:t>三、单位GDP能耗</w:t>
            </w:r>
          </w:p>
        </w:tc>
        <w:tc>
          <w:tcPr>
            <w:tcW w:w="1306"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吨标准煤/万元</w:t>
            </w:r>
          </w:p>
        </w:tc>
        <w:tc>
          <w:tcPr>
            <w:tcW w:w="537" w:type="dxa"/>
            <w:tcBorders>
              <w:top w:val="nil"/>
              <w:left w:val="single" w:color="auto" w:sz="2" w:space="0"/>
              <w:bottom w:val="nil"/>
              <w:right w:val="single" w:color="auto" w:sz="2" w:space="0"/>
            </w:tcBorders>
            <w:vAlign w:val="center"/>
          </w:tcPr>
          <w:p>
            <w:pPr>
              <w:spacing w:line="240" w:lineRule="exact"/>
              <w:jc w:val="center"/>
              <w:textAlignment w:val="center"/>
              <w:rPr>
                <w:rFonts w:ascii="宋体" w:hAnsi="宋体"/>
                <w:sz w:val="18"/>
                <w:szCs w:val="18"/>
              </w:rPr>
            </w:pPr>
            <w:r>
              <w:rPr>
                <w:rFonts w:ascii="宋体" w:hAnsi="宋体"/>
                <w:sz w:val="18"/>
                <w:szCs w:val="18"/>
              </w:rPr>
              <w:t>15</w:t>
            </w:r>
          </w:p>
        </w:tc>
        <w:tc>
          <w:tcPr>
            <w:tcW w:w="702" w:type="dxa"/>
            <w:tcBorders>
              <w:top w:val="nil"/>
              <w:left w:val="single" w:color="auto" w:sz="2"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36" w:lineRule="exact"/>
              <w:jc w:val="center"/>
              <w:rPr>
                <w:rFonts w:ascii="宋体" w:hAnsi="宋体"/>
                <w:sz w:val="18"/>
                <w:szCs w:val="18"/>
              </w:rPr>
            </w:pPr>
            <w:r>
              <w:rPr>
                <w:rFonts w:ascii="宋体" w:hAnsi="宋体"/>
                <w:sz w:val="18"/>
                <w:szCs w:val="18"/>
              </w:rPr>
              <w:t>—</w:t>
            </w:r>
          </w:p>
        </w:tc>
        <w:tc>
          <w:tcPr>
            <w:tcW w:w="630" w:type="dxa"/>
            <w:tcBorders>
              <w:top w:val="nil"/>
              <w:left w:val="nil"/>
              <w:bottom w:val="nil"/>
              <w:right w:val="nil"/>
            </w:tcBorders>
            <w:vAlign w:val="center"/>
          </w:tcPr>
          <w:p>
            <w:pPr>
              <w:spacing w:line="236" w:lineRule="exact"/>
              <w:jc w:val="center"/>
              <w:rPr>
                <w:rFonts w:ascii="宋体" w:hAnsi="宋体"/>
                <w:sz w:val="18"/>
                <w:szCs w:val="18"/>
              </w:rPr>
            </w:pPr>
            <w:r>
              <w:rPr>
                <w:rFonts w:ascii="宋体" w:hAnsi="宋体"/>
                <w:sz w:val="18"/>
                <w:szCs w:val="18"/>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nil"/>
              <w:right w:val="single" w:color="auto" w:sz="4" w:space="0"/>
            </w:tcBorders>
            <w:vAlign w:val="center"/>
          </w:tcPr>
          <w:p>
            <w:pPr>
              <w:spacing w:line="280" w:lineRule="exact"/>
              <w:rPr>
                <w:rFonts w:ascii="宋体" w:hAnsi="宋体"/>
                <w:sz w:val="18"/>
                <w:szCs w:val="18"/>
              </w:rPr>
            </w:pPr>
            <w:r>
              <w:rPr>
                <w:rFonts w:ascii="宋体" w:hAnsi="宋体"/>
                <w:sz w:val="18"/>
                <w:szCs w:val="18"/>
              </w:rPr>
              <w:t>四、规模以上工业单位增加值能耗</w:t>
            </w:r>
          </w:p>
        </w:tc>
        <w:tc>
          <w:tcPr>
            <w:tcW w:w="1306" w:type="dxa"/>
            <w:tcBorders>
              <w:top w:val="nil"/>
              <w:left w:val="single" w:color="auto" w:sz="4" w:space="0"/>
              <w:bottom w:val="nil"/>
              <w:right w:val="single" w:color="auto" w:sz="4" w:space="0"/>
            </w:tcBorders>
            <w:vAlign w:val="center"/>
          </w:tcPr>
          <w:p>
            <w:pPr>
              <w:spacing w:line="240" w:lineRule="exact"/>
              <w:jc w:val="center"/>
              <w:textAlignment w:val="center"/>
              <w:rPr>
                <w:rFonts w:ascii="宋体" w:hAnsi="宋体"/>
                <w:sz w:val="18"/>
                <w:szCs w:val="18"/>
              </w:rPr>
            </w:pPr>
            <w:r>
              <w:rPr>
                <w:rFonts w:ascii="宋体" w:hAnsi="宋体"/>
                <w:sz w:val="18"/>
                <w:szCs w:val="18"/>
              </w:rPr>
              <w:t>吨标准煤/万元</w:t>
            </w:r>
          </w:p>
        </w:tc>
        <w:tc>
          <w:tcPr>
            <w:tcW w:w="537" w:type="dxa"/>
            <w:tcBorders>
              <w:top w:val="nil"/>
              <w:left w:val="single" w:color="auto" w:sz="4" w:space="0"/>
              <w:bottom w:val="nil"/>
              <w:right w:val="single" w:color="auto" w:sz="4" w:space="0"/>
            </w:tcBorders>
            <w:vAlign w:val="center"/>
          </w:tcPr>
          <w:p>
            <w:pPr>
              <w:spacing w:line="240" w:lineRule="exact"/>
              <w:jc w:val="center"/>
              <w:textAlignment w:val="center"/>
              <w:rPr>
                <w:rFonts w:ascii="宋体" w:hAnsi="宋体"/>
                <w:sz w:val="18"/>
                <w:szCs w:val="18"/>
              </w:rPr>
            </w:pPr>
            <w:r>
              <w:rPr>
                <w:rFonts w:ascii="宋体" w:hAnsi="宋体"/>
                <w:sz w:val="18"/>
                <w:szCs w:val="18"/>
              </w:rPr>
              <w:t>16</w:t>
            </w:r>
          </w:p>
        </w:tc>
        <w:tc>
          <w:tcPr>
            <w:tcW w:w="702" w:type="dxa"/>
            <w:tcBorders>
              <w:top w:val="nil"/>
              <w:left w:val="single" w:color="auto" w:sz="4" w:space="0"/>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nil"/>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nil"/>
              <w:right w:val="nil"/>
            </w:tcBorders>
            <w:vAlign w:val="center"/>
          </w:tcPr>
          <w:p>
            <w:pPr>
              <w:spacing w:line="236" w:lineRule="exact"/>
              <w:jc w:val="center"/>
              <w:rPr>
                <w:rFonts w:ascii="宋体" w:hAnsi="宋体"/>
                <w:sz w:val="18"/>
                <w:szCs w:val="18"/>
              </w:rPr>
            </w:pPr>
            <w:r>
              <w:rPr>
                <w:rFonts w:hint="eastAsia" w:ascii="宋体" w:hAnsi="宋体"/>
                <w:sz w:val="18"/>
                <w:szCs w:val="18"/>
              </w:rPr>
              <w:t>—</w:t>
            </w:r>
          </w:p>
        </w:tc>
        <w:tc>
          <w:tcPr>
            <w:tcW w:w="630" w:type="dxa"/>
            <w:tcBorders>
              <w:top w:val="nil"/>
              <w:left w:val="nil"/>
              <w:bottom w:val="nil"/>
              <w:right w:val="nil"/>
            </w:tcBorders>
            <w:vAlign w:val="center"/>
          </w:tcPr>
          <w:p>
            <w:pPr>
              <w:spacing w:line="236" w:lineRule="exact"/>
              <w:jc w:val="center"/>
              <w:rPr>
                <w:rFonts w:ascii="宋体" w:hAnsi="宋体"/>
                <w:sz w:val="18"/>
                <w:szCs w:val="18"/>
              </w:rPr>
            </w:pP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7" w:hRule="atLeast"/>
        </w:trPr>
        <w:tc>
          <w:tcPr>
            <w:tcW w:w="4109" w:type="dxa"/>
            <w:tcBorders>
              <w:top w:val="nil"/>
              <w:left w:val="nil"/>
              <w:bottom w:val="single" w:color="auto" w:sz="8" w:space="0"/>
              <w:right w:val="single" w:color="auto" w:sz="4" w:space="0"/>
            </w:tcBorders>
            <w:vAlign w:val="center"/>
          </w:tcPr>
          <w:p>
            <w:pPr>
              <w:spacing w:line="280" w:lineRule="exact"/>
              <w:rPr>
                <w:rFonts w:ascii="宋体" w:hAnsi="宋体"/>
                <w:sz w:val="18"/>
                <w:szCs w:val="18"/>
              </w:rPr>
            </w:pPr>
            <w:r>
              <w:rPr>
                <w:rFonts w:ascii="宋体" w:hAnsi="宋体"/>
                <w:sz w:val="18"/>
                <w:szCs w:val="18"/>
              </w:rPr>
              <w:t>五</w:t>
            </w:r>
            <w:r>
              <w:rPr>
                <w:rFonts w:hint="eastAsia" w:ascii="宋体" w:hAnsi="宋体"/>
                <w:sz w:val="18"/>
                <w:szCs w:val="18"/>
              </w:rPr>
              <w:t>、</w:t>
            </w:r>
            <w:r>
              <w:rPr>
                <w:rFonts w:ascii="宋体" w:hAnsi="宋体"/>
                <w:sz w:val="18"/>
                <w:szCs w:val="18"/>
              </w:rPr>
              <w:t>单位GDP电耗</w:t>
            </w:r>
          </w:p>
        </w:tc>
        <w:tc>
          <w:tcPr>
            <w:tcW w:w="1306" w:type="dxa"/>
            <w:tcBorders>
              <w:top w:val="nil"/>
              <w:left w:val="single" w:color="auto" w:sz="4" w:space="0"/>
              <w:bottom w:val="single" w:color="auto" w:sz="8" w:space="0"/>
              <w:right w:val="single" w:color="auto" w:sz="4" w:space="0"/>
            </w:tcBorders>
            <w:vAlign w:val="center"/>
          </w:tcPr>
          <w:p>
            <w:pPr>
              <w:spacing w:line="240" w:lineRule="exact"/>
              <w:jc w:val="center"/>
              <w:textAlignment w:val="center"/>
              <w:rPr>
                <w:rFonts w:ascii="宋体" w:hAnsi="宋体"/>
                <w:sz w:val="18"/>
                <w:szCs w:val="18"/>
              </w:rPr>
            </w:pPr>
            <w:r>
              <w:rPr>
                <w:rFonts w:ascii="宋体" w:hAnsi="宋体"/>
                <w:sz w:val="18"/>
                <w:szCs w:val="18"/>
              </w:rPr>
              <w:t>千瓦时/万元</w:t>
            </w:r>
          </w:p>
        </w:tc>
        <w:tc>
          <w:tcPr>
            <w:tcW w:w="537" w:type="dxa"/>
            <w:tcBorders>
              <w:top w:val="nil"/>
              <w:left w:val="single" w:color="auto" w:sz="4" w:space="0"/>
              <w:bottom w:val="single" w:color="auto" w:sz="8" w:space="0"/>
              <w:right w:val="single" w:color="auto" w:sz="4" w:space="0"/>
            </w:tcBorders>
            <w:vAlign w:val="center"/>
          </w:tcPr>
          <w:p>
            <w:pPr>
              <w:spacing w:line="240" w:lineRule="exact"/>
              <w:jc w:val="center"/>
              <w:textAlignment w:val="center"/>
              <w:rPr>
                <w:rFonts w:ascii="宋体" w:hAnsi="宋体"/>
                <w:sz w:val="18"/>
                <w:szCs w:val="18"/>
              </w:rPr>
            </w:pPr>
            <w:r>
              <w:rPr>
                <w:rFonts w:hint="eastAsia" w:ascii="宋体" w:hAnsi="宋体"/>
                <w:sz w:val="18"/>
                <w:szCs w:val="18"/>
              </w:rPr>
              <w:t>1</w:t>
            </w:r>
            <w:r>
              <w:rPr>
                <w:rFonts w:ascii="宋体" w:hAnsi="宋体"/>
                <w:sz w:val="18"/>
                <w:szCs w:val="18"/>
              </w:rPr>
              <w:t>7</w:t>
            </w:r>
          </w:p>
        </w:tc>
        <w:tc>
          <w:tcPr>
            <w:tcW w:w="702" w:type="dxa"/>
            <w:tcBorders>
              <w:top w:val="nil"/>
              <w:left w:val="single" w:color="auto" w:sz="4" w:space="0"/>
              <w:bottom w:val="single" w:color="auto" w:sz="8" w:space="0"/>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single" w:color="auto" w:sz="8" w:space="0"/>
              <w:right w:val="nil"/>
            </w:tcBorders>
            <w:vAlign w:val="center"/>
          </w:tcPr>
          <w:p>
            <w:pPr>
              <w:spacing w:line="240" w:lineRule="exact"/>
              <w:jc w:val="center"/>
              <w:textAlignment w:val="center"/>
              <w:rPr>
                <w:rFonts w:ascii="宋体" w:hAnsi="宋体"/>
                <w:sz w:val="18"/>
                <w:szCs w:val="18"/>
              </w:rPr>
            </w:pPr>
          </w:p>
        </w:tc>
        <w:tc>
          <w:tcPr>
            <w:tcW w:w="702" w:type="dxa"/>
            <w:tcBorders>
              <w:top w:val="nil"/>
              <w:left w:val="nil"/>
              <w:bottom w:val="single" w:color="auto" w:sz="8" w:space="0"/>
              <w:right w:val="nil"/>
            </w:tcBorders>
            <w:vAlign w:val="center"/>
          </w:tcPr>
          <w:p>
            <w:pPr>
              <w:spacing w:line="240" w:lineRule="exact"/>
              <w:jc w:val="center"/>
              <w:textAlignment w:val="center"/>
              <w:rPr>
                <w:rFonts w:ascii="宋体" w:hAnsi="宋体"/>
                <w:sz w:val="18"/>
                <w:szCs w:val="18"/>
              </w:rPr>
            </w:pPr>
          </w:p>
        </w:tc>
        <w:tc>
          <w:tcPr>
            <w:tcW w:w="720" w:type="dxa"/>
            <w:tcBorders>
              <w:top w:val="nil"/>
              <w:left w:val="nil"/>
              <w:bottom w:val="single" w:color="auto" w:sz="8" w:space="0"/>
              <w:right w:val="nil"/>
            </w:tcBorders>
            <w:vAlign w:val="center"/>
          </w:tcPr>
          <w:p>
            <w:pPr>
              <w:spacing w:line="236" w:lineRule="exact"/>
              <w:jc w:val="center"/>
              <w:rPr>
                <w:rFonts w:ascii="宋体" w:hAnsi="宋体"/>
                <w:sz w:val="18"/>
                <w:szCs w:val="18"/>
              </w:rPr>
            </w:pPr>
            <w:r>
              <w:rPr>
                <w:rFonts w:hint="eastAsia" w:ascii="宋体" w:hAnsi="宋体"/>
                <w:sz w:val="18"/>
                <w:szCs w:val="18"/>
              </w:rPr>
              <w:t>—</w:t>
            </w:r>
          </w:p>
        </w:tc>
        <w:tc>
          <w:tcPr>
            <w:tcW w:w="630" w:type="dxa"/>
            <w:tcBorders>
              <w:top w:val="nil"/>
              <w:left w:val="nil"/>
              <w:bottom w:val="single" w:color="auto" w:sz="8" w:space="0"/>
              <w:right w:val="nil"/>
            </w:tcBorders>
            <w:vAlign w:val="center"/>
          </w:tcPr>
          <w:p>
            <w:pPr>
              <w:spacing w:line="236" w:lineRule="exact"/>
              <w:jc w:val="center"/>
              <w:rPr>
                <w:rFonts w:ascii="宋体" w:hAnsi="宋体"/>
                <w:sz w:val="18"/>
                <w:szCs w:val="18"/>
              </w:rPr>
            </w:pPr>
            <w:r>
              <w:rPr>
                <w:rFonts w:hint="eastAsia" w:ascii="宋体" w:hAnsi="宋体"/>
                <w:sz w:val="18"/>
                <w:szCs w:val="18"/>
              </w:rPr>
              <w:t>—</w:t>
            </w:r>
          </w:p>
        </w:tc>
      </w:tr>
    </w:tbl>
    <w:p>
      <w:pPr>
        <w:spacing w:line="320" w:lineRule="exact"/>
        <w:jc w:val="distribute"/>
        <w:rPr>
          <w:sz w:val="18"/>
          <w:szCs w:val="18"/>
        </w:rPr>
      </w:pPr>
      <w:r>
        <w:rPr>
          <w:sz w:val="18"/>
          <w:szCs w:val="18"/>
        </w:rPr>
        <w:t>单位负责人：                   填表人：  　          联系电话：               报出日期：２０ 　年  月  日</w:t>
      </w:r>
    </w:p>
    <w:p>
      <w:pPr>
        <w:snapToGrid w:val="0"/>
        <w:spacing w:afterLines="20" w:line="240" w:lineRule="exact"/>
        <w:rPr>
          <w:sz w:val="18"/>
          <w:szCs w:val="18"/>
        </w:rPr>
      </w:pPr>
    </w:p>
    <w:p>
      <w:pPr>
        <w:snapToGrid w:val="0"/>
        <w:spacing w:line="240" w:lineRule="exact"/>
        <w:rPr>
          <w:rFonts w:ascii="宋体" w:hAnsi="宋体" w:cs="宋体"/>
          <w:sz w:val="18"/>
          <w:szCs w:val="18"/>
        </w:rPr>
      </w:pPr>
      <w:r>
        <w:rPr>
          <w:sz w:val="18"/>
          <w:szCs w:val="18"/>
        </w:rPr>
        <w:t>说明：</w:t>
      </w:r>
      <w:r>
        <w:rPr>
          <w:rFonts w:ascii="宋体" w:hAnsi="宋体" w:cs="宋体"/>
          <w:sz w:val="18"/>
        </w:rPr>
        <w:t>1</w:t>
      </w:r>
      <w:r>
        <w:rPr>
          <w:rFonts w:hint="eastAsia" w:ascii="宋体" w:hAnsi="宋体" w:cs="宋体"/>
          <w:sz w:val="18"/>
          <w:szCs w:val="18"/>
        </w:rPr>
        <w:t>.本表由各</w:t>
      </w:r>
      <w:r>
        <w:rPr>
          <w:rFonts w:hint="eastAsia" w:ascii="宋体" w:hAnsi="宋体" w:cs="宋体"/>
          <w:sz w:val="18"/>
          <w:szCs w:val="18"/>
        </w:rPr>
        <w:t>设区市</w:t>
      </w:r>
      <w:r>
        <w:rPr>
          <w:rFonts w:hint="eastAsia" w:ascii="宋体" w:hAnsi="宋体" w:cs="宋体"/>
          <w:sz w:val="18"/>
          <w:szCs w:val="18"/>
        </w:rPr>
        <w:t>统计局负责报送。</w:t>
      </w:r>
    </w:p>
    <w:p>
      <w:pPr>
        <w:snapToGrid w:val="0"/>
        <w:spacing w:line="240" w:lineRule="exact"/>
        <w:ind w:firstLine="540" w:firstLineChars="300"/>
        <w:rPr>
          <w:rFonts w:ascii="宋体" w:hAnsi="宋体" w:cs="宋体"/>
          <w:sz w:val="18"/>
          <w:szCs w:val="18"/>
        </w:rPr>
      </w:pPr>
      <w:r>
        <w:rPr>
          <w:rFonts w:hint="eastAsia" w:ascii="宋体" w:hAnsi="宋体" w:cs="宋体"/>
          <w:sz w:val="18"/>
        </w:rPr>
        <w:t>2.报送时间为季后23日12:00前，</w:t>
      </w:r>
      <w:r>
        <w:rPr>
          <w:rFonts w:hint="eastAsia" w:ascii="宋体" w:hAnsi="宋体" w:cs="宋体"/>
          <w:sz w:val="18"/>
          <w:szCs w:val="18"/>
        </w:rPr>
        <w:t>报送方式为电子邮件</w:t>
      </w:r>
      <w:r>
        <w:rPr>
          <w:rFonts w:hint="eastAsia" w:ascii="宋体" w:hAnsi="宋体" w:cs="宋体"/>
          <w:sz w:val="18"/>
        </w:rPr>
        <w:t>。</w:t>
      </w:r>
    </w:p>
    <w:p>
      <w:pPr>
        <w:snapToGrid w:val="0"/>
        <w:spacing w:line="240" w:lineRule="exact"/>
        <w:ind w:right="-42" w:rightChars="-20" w:firstLine="540" w:firstLineChars="300"/>
        <w:rPr>
          <w:rFonts w:ascii="宋体" w:hAnsi="宋体" w:cs="宋体"/>
          <w:sz w:val="18"/>
        </w:rPr>
      </w:pPr>
      <w:r>
        <w:rPr>
          <w:rFonts w:ascii="宋体" w:hAnsi="宋体" w:cs="宋体"/>
          <w:sz w:val="18"/>
        </w:rPr>
        <w:t>3</w:t>
      </w:r>
      <w:r>
        <w:rPr>
          <w:rFonts w:ascii="宋体" w:hAnsi="宋体" w:cs="宋体"/>
          <w:sz w:val="18"/>
          <w:szCs w:val="18"/>
        </w:rPr>
        <w:t>.</w:t>
      </w:r>
      <w:r>
        <w:rPr>
          <w:rFonts w:ascii="宋体" w:hAnsi="宋体"/>
          <w:kern w:val="0"/>
          <w:sz w:val="18"/>
          <w:szCs w:val="18"/>
        </w:rPr>
        <w:t>本表的</w:t>
      </w:r>
      <w:r>
        <w:rPr>
          <w:rFonts w:hint="eastAsia" w:ascii="宋体" w:hAnsi="宋体"/>
          <w:kern w:val="0"/>
          <w:sz w:val="18"/>
          <w:szCs w:val="18"/>
        </w:rPr>
        <w:t>单位</w:t>
      </w:r>
      <w:r>
        <w:rPr>
          <w:rFonts w:ascii="宋体" w:hAnsi="宋体"/>
          <w:kern w:val="0"/>
          <w:sz w:val="18"/>
          <w:szCs w:val="18"/>
        </w:rPr>
        <w:t>GDP</w:t>
      </w:r>
      <w:r>
        <w:rPr>
          <w:rFonts w:hint="eastAsia" w:ascii="宋体" w:hAnsi="宋体"/>
          <w:kern w:val="0"/>
          <w:sz w:val="18"/>
          <w:szCs w:val="18"/>
        </w:rPr>
        <w:t>能耗、规模以上工业单位增加值能耗、单位</w:t>
      </w:r>
      <w:r>
        <w:rPr>
          <w:rFonts w:ascii="宋体" w:hAnsi="宋体"/>
          <w:kern w:val="0"/>
          <w:sz w:val="18"/>
          <w:szCs w:val="18"/>
        </w:rPr>
        <w:t>GDP</w:t>
      </w:r>
      <w:r>
        <w:rPr>
          <w:rFonts w:hint="eastAsia" w:ascii="宋体" w:hAnsi="宋体"/>
          <w:kern w:val="0"/>
          <w:sz w:val="18"/>
          <w:szCs w:val="18"/>
        </w:rPr>
        <w:t>电耗保留</w:t>
      </w:r>
      <w:r>
        <w:rPr>
          <w:rFonts w:ascii="宋体" w:hAnsi="宋体"/>
          <w:kern w:val="0"/>
          <w:sz w:val="18"/>
          <w:szCs w:val="18"/>
        </w:rPr>
        <w:t>4</w:t>
      </w:r>
      <w:r>
        <w:rPr>
          <w:rFonts w:hint="eastAsia" w:ascii="宋体" w:hAnsi="宋体"/>
          <w:kern w:val="0"/>
          <w:sz w:val="18"/>
          <w:szCs w:val="18"/>
        </w:rPr>
        <w:t>位小数，其余数据保留</w:t>
      </w:r>
      <w:r>
        <w:rPr>
          <w:rFonts w:ascii="宋体" w:hAnsi="宋体"/>
          <w:kern w:val="0"/>
          <w:sz w:val="18"/>
          <w:szCs w:val="18"/>
        </w:rPr>
        <w:t>2</w:t>
      </w:r>
      <w:r>
        <w:rPr>
          <w:rFonts w:hint="eastAsia" w:ascii="宋体" w:hAnsi="宋体"/>
          <w:kern w:val="0"/>
          <w:sz w:val="18"/>
          <w:szCs w:val="18"/>
        </w:rPr>
        <w:t>位小数。</w:t>
      </w:r>
    </w:p>
    <w:p>
      <w:pPr>
        <w:snapToGrid w:val="0"/>
        <w:spacing w:line="240" w:lineRule="exact"/>
        <w:ind w:right="-42" w:rightChars="-20" w:firstLine="540" w:firstLineChars="300"/>
        <w:rPr>
          <w:rFonts w:ascii="宋体" w:hAnsi="宋体" w:cs="宋体"/>
          <w:sz w:val="18"/>
        </w:rPr>
      </w:pPr>
      <w:r>
        <w:rPr>
          <w:rFonts w:hint="eastAsia" w:ascii="宋体" w:hAnsi="宋体" w:cs="宋体"/>
          <w:sz w:val="18"/>
        </w:rPr>
        <w:t>4.本表的能源消费量核算方法遵照《季度地区能源消费总量核算方案》。</w:t>
      </w:r>
    </w:p>
    <w:p>
      <w:pPr>
        <w:spacing w:beforeLines="150"/>
        <w:jc w:val="center"/>
        <w:outlineLvl w:val="2"/>
        <w:rPr>
          <w:sz w:val="32"/>
          <w:szCs w:val="32"/>
        </w:rPr>
      </w:pPr>
      <w:r>
        <w:rPr>
          <w:sz w:val="32"/>
          <w:szCs w:val="32"/>
        </w:rPr>
        <w:t>全社会用电量情况</w:t>
      </w:r>
    </w:p>
    <w:tbl>
      <w:tblPr>
        <w:tblStyle w:val="25"/>
        <w:tblW w:w="9384" w:type="dxa"/>
        <w:jc w:val="center"/>
        <w:tblInd w:w="0" w:type="dxa"/>
        <w:tblLayout w:type="fixed"/>
        <w:tblCellMar>
          <w:top w:w="0" w:type="dxa"/>
          <w:left w:w="0" w:type="dxa"/>
          <w:bottom w:w="0" w:type="dxa"/>
          <w:right w:w="0" w:type="dxa"/>
        </w:tblCellMar>
      </w:tblPr>
      <w:tblGrid>
        <w:gridCol w:w="3565"/>
        <w:gridCol w:w="336"/>
        <w:gridCol w:w="3012"/>
        <w:gridCol w:w="868"/>
        <w:gridCol w:w="1603"/>
      </w:tblGrid>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336" w:type="dxa"/>
          </w:tcPr>
          <w:p>
            <w:pPr>
              <w:spacing w:line="260" w:lineRule="exact"/>
              <w:rPr>
                <w:sz w:val="18"/>
                <w:szCs w:val="18"/>
              </w:rPr>
            </w:pPr>
          </w:p>
        </w:tc>
        <w:tc>
          <w:tcPr>
            <w:tcW w:w="3012" w:type="dxa"/>
          </w:tcPr>
          <w:p>
            <w:pPr>
              <w:spacing w:line="260" w:lineRule="exact"/>
              <w:rPr>
                <w:sz w:val="18"/>
                <w:szCs w:val="18"/>
              </w:rPr>
            </w:pPr>
            <w:r>
              <w:rPr>
                <w:sz w:val="18"/>
                <w:szCs w:val="18"/>
              </w:rPr>
              <w:t>　　　　　　　　　　　　　</w:t>
            </w:r>
          </w:p>
        </w:tc>
        <w:tc>
          <w:tcPr>
            <w:tcW w:w="868" w:type="dxa"/>
            <w:tcMar>
              <w:left w:w="0" w:type="dxa"/>
              <w:right w:w="0" w:type="dxa"/>
            </w:tcMar>
          </w:tcPr>
          <w:p>
            <w:pPr>
              <w:spacing w:line="260" w:lineRule="exact"/>
              <w:rPr>
                <w:sz w:val="18"/>
                <w:szCs w:val="18"/>
              </w:rPr>
            </w:pPr>
            <w:r>
              <w:rPr>
                <w:sz w:val="18"/>
                <w:szCs w:val="18"/>
              </w:rPr>
              <w:t>表    号：</w:t>
            </w:r>
          </w:p>
        </w:tc>
        <w:tc>
          <w:tcPr>
            <w:tcW w:w="1603" w:type="dxa"/>
            <w:vAlign w:val="center"/>
          </w:tcPr>
          <w:p>
            <w:pPr>
              <w:spacing w:line="260" w:lineRule="exact"/>
              <w:jc w:val="distribute"/>
              <w:rPr>
                <w:spacing w:val="-2"/>
                <w:kern w:val="0"/>
                <w:sz w:val="18"/>
                <w:szCs w:val="18"/>
              </w:rPr>
            </w:pPr>
            <w:r>
              <w:rPr>
                <w:spacing w:val="-2"/>
                <w:kern w:val="0"/>
                <w:sz w:val="18"/>
                <w:szCs w:val="18"/>
              </w:rPr>
              <w:t>Ｐ４０７表</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p>
        </w:tc>
        <w:tc>
          <w:tcPr>
            <w:tcW w:w="336" w:type="dxa"/>
          </w:tcPr>
          <w:p>
            <w:pPr>
              <w:spacing w:line="260" w:lineRule="exact"/>
              <w:rPr>
                <w:sz w:val="18"/>
                <w:szCs w:val="18"/>
              </w:rPr>
            </w:pPr>
          </w:p>
        </w:tc>
        <w:tc>
          <w:tcPr>
            <w:tcW w:w="3012" w:type="dxa"/>
          </w:tcPr>
          <w:p>
            <w:pPr>
              <w:spacing w:line="260" w:lineRule="exact"/>
              <w:rPr>
                <w:sz w:val="18"/>
                <w:szCs w:val="18"/>
              </w:rPr>
            </w:pPr>
          </w:p>
        </w:tc>
        <w:tc>
          <w:tcPr>
            <w:tcW w:w="868" w:type="dxa"/>
            <w:tcMar>
              <w:left w:w="0" w:type="dxa"/>
              <w:right w:w="0" w:type="dxa"/>
            </w:tcMar>
            <w:vAlign w:val="center"/>
          </w:tcPr>
          <w:p>
            <w:pPr>
              <w:spacing w:line="260" w:lineRule="exact"/>
              <w:rPr>
                <w:sz w:val="18"/>
                <w:szCs w:val="18"/>
              </w:rPr>
            </w:pPr>
            <w:r>
              <w:rPr>
                <w:sz w:val="18"/>
                <w:szCs w:val="18"/>
              </w:rPr>
              <w:t>制定机关：</w:t>
            </w:r>
          </w:p>
        </w:tc>
        <w:tc>
          <w:tcPr>
            <w:tcW w:w="1603" w:type="dxa"/>
            <w:vAlign w:val="center"/>
          </w:tcPr>
          <w:p>
            <w:pPr>
              <w:spacing w:line="260" w:lineRule="exact"/>
              <w:jc w:val="distribute"/>
              <w:rPr>
                <w:spacing w:val="-2"/>
                <w:kern w:val="0"/>
                <w:sz w:val="18"/>
                <w:szCs w:val="18"/>
              </w:rPr>
            </w:pPr>
            <w:r>
              <w:rPr>
                <w:spacing w:val="-2"/>
                <w:kern w:val="0"/>
                <w:sz w:val="18"/>
                <w:szCs w:val="18"/>
              </w:rPr>
              <w:t>国 家 统 计 局</w:t>
            </w:r>
          </w:p>
        </w:tc>
      </w:tr>
      <w:tr>
        <w:tblPrEx>
          <w:tblLayout w:type="fixed"/>
          <w:tblCellMar>
            <w:top w:w="0" w:type="dxa"/>
            <w:left w:w="0" w:type="dxa"/>
            <w:bottom w:w="0" w:type="dxa"/>
            <w:right w:w="0" w:type="dxa"/>
          </w:tblCellMar>
        </w:tblPrEx>
        <w:trPr>
          <w:jc w:val="center"/>
        </w:trPr>
        <w:tc>
          <w:tcPr>
            <w:tcW w:w="3565" w:type="dxa"/>
          </w:tcPr>
          <w:p>
            <w:pPr>
              <w:spacing w:line="260" w:lineRule="exact"/>
              <w:jc w:val="left"/>
              <w:rPr>
                <w:sz w:val="18"/>
                <w:szCs w:val="18"/>
              </w:rPr>
            </w:pPr>
          </w:p>
        </w:tc>
        <w:tc>
          <w:tcPr>
            <w:tcW w:w="336" w:type="dxa"/>
          </w:tcPr>
          <w:p>
            <w:pPr>
              <w:spacing w:line="260" w:lineRule="exact"/>
              <w:rPr>
                <w:sz w:val="18"/>
                <w:szCs w:val="18"/>
              </w:rPr>
            </w:pPr>
          </w:p>
        </w:tc>
        <w:tc>
          <w:tcPr>
            <w:tcW w:w="3012" w:type="dxa"/>
          </w:tcPr>
          <w:p>
            <w:pPr>
              <w:spacing w:line="260" w:lineRule="exact"/>
              <w:rPr>
                <w:sz w:val="18"/>
                <w:szCs w:val="18"/>
              </w:rPr>
            </w:pPr>
          </w:p>
        </w:tc>
        <w:tc>
          <w:tcPr>
            <w:tcW w:w="868" w:type="dxa"/>
            <w:tcMar>
              <w:left w:w="0" w:type="dxa"/>
              <w:right w:w="0" w:type="dxa"/>
            </w:tcMar>
            <w:vAlign w:val="center"/>
          </w:tcPr>
          <w:p>
            <w:pPr>
              <w:spacing w:line="260" w:lineRule="exact"/>
              <w:rPr>
                <w:sz w:val="18"/>
                <w:szCs w:val="18"/>
              </w:rPr>
            </w:pPr>
            <w:r>
              <w:rPr>
                <w:sz w:val="18"/>
                <w:szCs w:val="18"/>
              </w:rPr>
              <w:t>文    号：</w:t>
            </w:r>
          </w:p>
        </w:tc>
        <w:tc>
          <w:tcPr>
            <w:tcW w:w="1603" w:type="dxa"/>
            <w:vAlign w:val="center"/>
          </w:tcPr>
          <w:p>
            <w:pPr>
              <w:spacing w:line="260" w:lineRule="exact"/>
              <w:jc w:val="distribute"/>
              <w:rPr>
                <w:spacing w:val="-2"/>
                <w:kern w:val="0"/>
                <w:sz w:val="18"/>
                <w:szCs w:val="18"/>
              </w:rPr>
            </w:pPr>
            <w:r>
              <w:rPr>
                <w:rFonts w:hint="eastAsia" w:ascii="宋体" w:hAnsi="宋体"/>
                <w:spacing w:val="-2"/>
                <w:kern w:val="0"/>
                <w:sz w:val="18"/>
                <w:szCs w:val="18"/>
              </w:rPr>
              <w:t>国统字〔2020〕105 号</w:t>
            </w:r>
          </w:p>
        </w:tc>
      </w:tr>
      <w:tr>
        <w:tblPrEx>
          <w:tblLayout w:type="fixed"/>
          <w:tblCellMar>
            <w:top w:w="0" w:type="dxa"/>
            <w:left w:w="0" w:type="dxa"/>
            <w:bottom w:w="0" w:type="dxa"/>
            <w:right w:w="0" w:type="dxa"/>
          </w:tblCellMar>
        </w:tblPrEx>
        <w:trPr>
          <w:jc w:val="center"/>
        </w:trPr>
        <w:tc>
          <w:tcPr>
            <w:tcW w:w="3565" w:type="dxa"/>
          </w:tcPr>
          <w:p>
            <w:pPr>
              <w:spacing w:line="260" w:lineRule="exact"/>
              <w:rPr>
                <w:sz w:val="18"/>
                <w:szCs w:val="18"/>
              </w:rPr>
            </w:pPr>
            <w:r>
              <w:rPr>
                <w:sz w:val="18"/>
              </w:rPr>
              <w:t>综合机关名称：</w:t>
            </w:r>
          </w:p>
        </w:tc>
        <w:tc>
          <w:tcPr>
            <w:tcW w:w="336" w:type="dxa"/>
          </w:tcPr>
          <w:p>
            <w:pPr>
              <w:spacing w:line="260" w:lineRule="exact"/>
              <w:rPr>
                <w:sz w:val="18"/>
                <w:szCs w:val="18"/>
              </w:rPr>
            </w:pPr>
          </w:p>
        </w:tc>
        <w:tc>
          <w:tcPr>
            <w:tcW w:w="3012" w:type="dxa"/>
          </w:tcPr>
          <w:p>
            <w:pPr>
              <w:spacing w:line="260" w:lineRule="exact"/>
              <w:rPr>
                <w:sz w:val="18"/>
                <w:szCs w:val="18"/>
              </w:rPr>
            </w:pPr>
            <w:r>
              <w:rPr>
                <w:sz w:val="18"/>
                <w:szCs w:val="18"/>
              </w:rPr>
              <w:t>２０　　年　　月　　　　　　　　　</w:t>
            </w:r>
          </w:p>
        </w:tc>
        <w:tc>
          <w:tcPr>
            <w:tcW w:w="868" w:type="dxa"/>
            <w:tcMar>
              <w:left w:w="0" w:type="dxa"/>
              <w:right w:w="0" w:type="dxa"/>
            </w:tcMar>
            <w:vAlign w:val="center"/>
          </w:tcPr>
          <w:p>
            <w:pPr>
              <w:spacing w:line="260" w:lineRule="exact"/>
              <w:rPr>
                <w:sz w:val="18"/>
                <w:szCs w:val="18"/>
              </w:rPr>
            </w:pPr>
            <w:r>
              <w:rPr>
                <w:sz w:val="18"/>
                <w:szCs w:val="18"/>
              </w:rPr>
              <w:t>有效期至：</w:t>
            </w:r>
          </w:p>
        </w:tc>
        <w:tc>
          <w:tcPr>
            <w:tcW w:w="1603" w:type="dxa"/>
            <w:vAlign w:val="center"/>
          </w:tcPr>
          <w:p>
            <w:pPr>
              <w:spacing w:line="260" w:lineRule="exact"/>
              <w:jc w:val="distribute"/>
              <w:rPr>
                <w:spacing w:val="-2"/>
                <w:kern w:val="0"/>
                <w:sz w:val="18"/>
                <w:szCs w:val="18"/>
              </w:rPr>
            </w:pPr>
            <w:r>
              <w:rPr>
                <w:spacing w:val="-2"/>
                <w:kern w:val="0"/>
                <w:sz w:val="18"/>
                <w:szCs w:val="18"/>
              </w:rPr>
              <w:t>２０２２年１月</w:t>
            </w:r>
          </w:p>
        </w:tc>
      </w:tr>
    </w:tbl>
    <w:p>
      <w:pPr>
        <w:spacing w:line="20" w:lineRule="exact"/>
        <w:jc w:val="center"/>
        <w:rPr>
          <w:rFonts w:eastAsia="仿宋_GB2312"/>
          <w:sz w:val="28"/>
          <w:szCs w:val="28"/>
        </w:rPr>
      </w:pPr>
    </w:p>
    <w:tbl>
      <w:tblPr>
        <w:tblStyle w:val="25"/>
        <w:tblW w:w="9430" w:type="dxa"/>
        <w:jc w:val="center"/>
        <w:tblInd w:w="0" w:type="dxa"/>
        <w:tblLayout w:type="fixed"/>
        <w:tblCellMar>
          <w:top w:w="0" w:type="dxa"/>
          <w:left w:w="108" w:type="dxa"/>
          <w:bottom w:w="0" w:type="dxa"/>
          <w:right w:w="108" w:type="dxa"/>
        </w:tblCellMar>
      </w:tblPr>
      <w:tblGrid>
        <w:gridCol w:w="2963"/>
        <w:gridCol w:w="653"/>
        <w:gridCol w:w="761"/>
        <w:gridCol w:w="762"/>
        <w:gridCol w:w="761"/>
        <w:gridCol w:w="762"/>
        <w:gridCol w:w="922"/>
        <w:gridCol w:w="923"/>
        <w:gridCol w:w="923"/>
      </w:tblGrid>
      <w:tr>
        <w:tblPrEx>
          <w:tblLayout w:type="fixed"/>
          <w:tblCellMar>
            <w:top w:w="0" w:type="dxa"/>
            <w:left w:w="108" w:type="dxa"/>
            <w:bottom w:w="0" w:type="dxa"/>
            <w:right w:w="108" w:type="dxa"/>
          </w:tblCellMar>
        </w:tblPrEx>
        <w:trPr>
          <w:trHeight w:val="327" w:hRule="atLeast"/>
          <w:jc w:val="center"/>
        </w:trPr>
        <w:tc>
          <w:tcPr>
            <w:tcW w:w="2963" w:type="dxa"/>
            <w:vMerge w:val="restart"/>
            <w:tcBorders>
              <w:top w:val="single" w:color="auto" w:sz="8" w:space="0"/>
              <w:bottom w:val="single" w:color="auto" w:sz="2" w:space="0"/>
              <w:right w:val="single" w:color="auto" w:sz="2"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指标名称</w:t>
            </w:r>
          </w:p>
        </w:tc>
        <w:tc>
          <w:tcPr>
            <w:tcW w:w="653" w:type="dxa"/>
            <w:vMerge w:val="restart"/>
            <w:tcBorders>
              <w:top w:val="single" w:color="auto" w:sz="8" w:space="0"/>
              <w:left w:val="single" w:color="auto" w:sz="2" w:space="0"/>
              <w:bottom w:val="single" w:color="auto" w:sz="2" w:space="0"/>
              <w:right w:val="single" w:color="auto" w:sz="2"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代码</w:t>
            </w:r>
          </w:p>
        </w:tc>
        <w:tc>
          <w:tcPr>
            <w:tcW w:w="3046" w:type="dxa"/>
            <w:gridSpan w:val="4"/>
            <w:tcBorders>
              <w:top w:val="single" w:color="auto" w:sz="8" w:space="0"/>
              <w:left w:val="single" w:color="auto" w:sz="2" w:space="0"/>
              <w:bottom w:val="single" w:color="auto" w:sz="2" w:space="0"/>
              <w:right w:val="single" w:color="auto" w:sz="2"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用电量(万千瓦时)</w:t>
            </w:r>
          </w:p>
        </w:tc>
        <w:tc>
          <w:tcPr>
            <w:tcW w:w="922" w:type="dxa"/>
            <w:vMerge w:val="restart"/>
            <w:tcBorders>
              <w:top w:val="single" w:color="auto" w:sz="8" w:space="0"/>
              <w:left w:val="single" w:color="auto" w:sz="2" w:space="0"/>
              <w:bottom w:val="single" w:color="auto" w:sz="2" w:space="0"/>
              <w:right w:val="single" w:color="auto" w:sz="2" w:space="0"/>
            </w:tcBorders>
            <w:tcMar>
              <w:left w:w="57" w:type="dxa"/>
              <w:right w:w="57" w:type="dxa"/>
            </w:tcMar>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本</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比</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上年同期</w:t>
            </w:r>
            <w:r>
              <w:rPr>
                <w:rFonts w:ascii="宋体" w:hAnsi="宋体" w:cs="宋体"/>
                <w:sz w:val="18"/>
                <w:szCs w:val="18"/>
              </w:rPr>
              <w:t>(%)</w:t>
            </w:r>
          </w:p>
        </w:tc>
        <w:tc>
          <w:tcPr>
            <w:tcW w:w="923" w:type="dxa"/>
            <w:vMerge w:val="restart"/>
            <w:tcBorders>
              <w:top w:val="single" w:color="auto" w:sz="8" w:space="0"/>
              <w:left w:val="single" w:color="auto" w:sz="2" w:space="0"/>
              <w:bottom w:val="single" w:color="auto" w:sz="2" w:space="0"/>
              <w:right w:val="single" w:color="auto" w:sz="2" w:space="0"/>
            </w:tcBorders>
            <w:tcMar>
              <w:left w:w="57" w:type="dxa"/>
              <w:right w:w="57" w:type="dxa"/>
            </w:tcMar>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1-本月比上年同期</w:t>
            </w:r>
            <w:r>
              <w:rPr>
                <w:rFonts w:ascii="宋体" w:hAnsi="宋体" w:cs="宋体"/>
                <w:sz w:val="18"/>
                <w:szCs w:val="18"/>
              </w:rPr>
              <w:t>(%)</w:t>
            </w:r>
          </w:p>
        </w:tc>
        <w:tc>
          <w:tcPr>
            <w:tcW w:w="923" w:type="dxa"/>
            <w:vMerge w:val="restart"/>
            <w:tcBorders>
              <w:top w:val="single" w:color="auto" w:sz="8" w:space="0"/>
              <w:left w:val="single" w:color="auto" w:sz="2" w:space="0"/>
              <w:bottom w:val="single" w:color="auto" w:sz="2" w:space="0"/>
            </w:tcBorders>
            <w:tcMar>
              <w:left w:w="57" w:type="dxa"/>
              <w:right w:w="57" w:type="dxa"/>
            </w:tcMar>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占全社会用电量的比重(%)</w:t>
            </w:r>
          </w:p>
        </w:tc>
      </w:tr>
      <w:tr>
        <w:tblPrEx>
          <w:tblLayout w:type="fixed"/>
          <w:tblCellMar>
            <w:top w:w="0" w:type="dxa"/>
            <w:left w:w="108" w:type="dxa"/>
            <w:bottom w:w="0" w:type="dxa"/>
            <w:right w:w="108" w:type="dxa"/>
          </w:tblCellMar>
        </w:tblPrEx>
        <w:trPr>
          <w:trHeight w:val="547" w:hRule="atLeast"/>
          <w:jc w:val="center"/>
        </w:trPr>
        <w:tc>
          <w:tcPr>
            <w:tcW w:w="2963" w:type="dxa"/>
            <w:vMerge w:val="continue"/>
            <w:tcBorders>
              <w:top w:val="single" w:color="auto" w:sz="2" w:space="0"/>
              <w:bottom w:val="single" w:color="auto" w:sz="2" w:space="0"/>
              <w:right w:val="single" w:color="auto" w:sz="2" w:space="0"/>
            </w:tcBorders>
            <w:vAlign w:val="center"/>
          </w:tcPr>
          <w:p>
            <w:pPr>
              <w:widowControl/>
              <w:spacing w:line="260" w:lineRule="exact"/>
              <w:jc w:val="left"/>
              <w:rPr>
                <w:rFonts w:ascii="宋体" w:hAnsi="宋体" w:cs="宋体"/>
                <w:kern w:val="0"/>
                <w:sz w:val="18"/>
                <w:szCs w:val="18"/>
              </w:rPr>
            </w:pPr>
          </w:p>
        </w:tc>
        <w:tc>
          <w:tcPr>
            <w:tcW w:w="653"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60" w:lineRule="exact"/>
              <w:jc w:val="left"/>
              <w:rPr>
                <w:rFonts w:ascii="宋体" w:hAnsi="宋体" w:cs="宋体"/>
                <w:kern w:val="0"/>
                <w:sz w:val="18"/>
                <w:szCs w:val="18"/>
              </w:rPr>
            </w:pPr>
          </w:p>
        </w:tc>
        <w:tc>
          <w:tcPr>
            <w:tcW w:w="761" w:type="dxa"/>
            <w:tcBorders>
              <w:top w:val="single" w:color="auto" w:sz="2" w:space="0"/>
              <w:left w:val="single" w:color="auto" w:sz="2" w:space="0"/>
              <w:bottom w:val="single" w:color="auto" w:sz="2" w:space="0"/>
              <w:right w:val="single" w:color="auto" w:sz="2"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本月</w:t>
            </w:r>
          </w:p>
        </w:tc>
        <w:tc>
          <w:tcPr>
            <w:tcW w:w="762" w:type="dxa"/>
            <w:tcBorders>
              <w:top w:val="single" w:color="auto" w:sz="2" w:space="0"/>
              <w:left w:val="single" w:color="auto" w:sz="2" w:space="0"/>
              <w:bottom w:val="single" w:color="auto" w:sz="2" w:space="0"/>
              <w:right w:val="single" w:color="auto" w:sz="2"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上年</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同期</w:t>
            </w:r>
          </w:p>
        </w:tc>
        <w:tc>
          <w:tcPr>
            <w:tcW w:w="761" w:type="dxa"/>
            <w:tcBorders>
              <w:top w:val="single" w:color="auto" w:sz="2" w:space="0"/>
              <w:left w:val="single" w:color="auto" w:sz="2" w:space="0"/>
              <w:bottom w:val="single" w:color="auto" w:sz="2" w:space="0"/>
              <w:right w:val="single" w:color="auto" w:sz="2"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1-本月</w:t>
            </w:r>
          </w:p>
        </w:tc>
        <w:tc>
          <w:tcPr>
            <w:tcW w:w="762" w:type="dxa"/>
            <w:tcBorders>
              <w:top w:val="single" w:color="auto" w:sz="2" w:space="0"/>
              <w:left w:val="single" w:color="auto" w:sz="2" w:space="0"/>
              <w:bottom w:val="single" w:color="auto" w:sz="2" w:space="0"/>
              <w:right w:val="single" w:color="auto" w:sz="2"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上年</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同期</w:t>
            </w:r>
          </w:p>
        </w:tc>
        <w:tc>
          <w:tcPr>
            <w:tcW w:w="922"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60" w:lineRule="exact"/>
              <w:jc w:val="left"/>
              <w:rPr>
                <w:rFonts w:ascii="宋体" w:hAnsi="宋体" w:cs="宋体"/>
                <w:kern w:val="0"/>
                <w:sz w:val="18"/>
                <w:szCs w:val="18"/>
              </w:rPr>
            </w:pPr>
          </w:p>
        </w:tc>
        <w:tc>
          <w:tcPr>
            <w:tcW w:w="923"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260" w:lineRule="exact"/>
              <w:jc w:val="left"/>
              <w:rPr>
                <w:rFonts w:ascii="宋体" w:hAnsi="宋体" w:cs="宋体"/>
                <w:kern w:val="0"/>
                <w:sz w:val="18"/>
                <w:szCs w:val="18"/>
              </w:rPr>
            </w:pPr>
          </w:p>
        </w:tc>
        <w:tc>
          <w:tcPr>
            <w:tcW w:w="923" w:type="dxa"/>
            <w:vMerge w:val="continue"/>
            <w:tcBorders>
              <w:top w:val="single" w:color="auto" w:sz="2" w:space="0"/>
              <w:left w:val="single" w:color="auto" w:sz="2" w:space="0"/>
              <w:bottom w:val="single" w:color="auto" w:sz="2" w:space="0"/>
            </w:tcBorders>
            <w:vAlign w:val="center"/>
          </w:tcPr>
          <w:p>
            <w:pPr>
              <w:widowControl/>
              <w:spacing w:line="26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40" w:hRule="atLeast"/>
          <w:jc w:val="center"/>
        </w:trPr>
        <w:tc>
          <w:tcPr>
            <w:tcW w:w="2963" w:type="dxa"/>
            <w:tcBorders>
              <w:top w:val="single" w:color="auto" w:sz="2" w:space="0"/>
              <w:bottom w:val="single" w:color="auto" w:sz="2" w:space="0"/>
              <w:right w:val="single" w:color="auto" w:sz="2" w:space="0"/>
            </w:tcBorders>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甲</w:t>
            </w:r>
          </w:p>
        </w:tc>
        <w:tc>
          <w:tcPr>
            <w:tcW w:w="65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textAlignment w:val="center"/>
              <w:rPr>
                <w:rFonts w:ascii="宋体" w:hAnsi="宋体" w:cs="宋体"/>
                <w:kern w:val="0"/>
                <w:sz w:val="18"/>
                <w:szCs w:val="18"/>
              </w:rPr>
            </w:pPr>
            <w:r>
              <w:rPr>
                <w:rFonts w:hint="eastAsia" w:ascii="宋体" w:hAnsi="宋体" w:cs="宋体"/>
                <w:kern w:val="0"/>
                <w:sz w:val="18"/>
                <w:szCs w:val="18"/>
              </w:rPr>
              <w:t>乙</w:t>
            </w:r>
          </w:p>
        </w:tc>
        <w:tc>
          <w:tcPr>
            <w:tcW w:w="761"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textAlignment w:val="center"/>
              <w:rPr>
                <w:rFonts w:ascii="宋体" w:hAnsi="宋体" w:cs="宋体"/>
                <w:kern w:val="0"/>
                <w:sz w:val="18"/>
                <w:szCs w:val="18"/>
              </w:rPr>
            </w:pPr>
            <w:r>
              <w:rPr>
                <w:rFonts w:ascii="宋体" w:hAnsi="宋体" w:cs="宋体"/>
                <w:kern w:val="0"/>
                <w:sz w:val="18"/>
                <w:szCs w:val="18"/>
              </w:rPr>
              <w:t>1</w:t>
            </w:r>
          </w:p>
        </w:tc>
        <w:tc>
          <w:tcPr>
            <w:tcW w:w="7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textAlignment w:val="center"/>
              <w:rPr>
                <w:rFonts w:ascii="宋体" w:hAnsi="宋体" w:cs="宋体"/>
                <w:kern w:val="0"/>
                <w:sz w:val="18"/>
                <w:szCs w:val="18"/>
              </w:rPr>
            </w:pPr>
            <w:r>
              <w:rPr>
                <w:rFonts w:ascii="宋体" w:hAnsi="宋体" w:cs="宋体"/>
                <w:kern w:val="0"/>
                <w:sz w:val="18"/>
                <w:szCs w:val="18"/>
              </w:rPr>
              <w:t>2</w:t>
            </w:r>
          </w:p>
        </w:tc>
        <w:tc>
          <w:tcPr>
            <w:tcW w:w="761"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textAlignment w:val="center"/>
              <w:rPr>
                <w:rFonts w:ascii="宋体" w:hAnsi="宋体" w:cs="宋体"/>
                <w:kern w:val="0"/>
                <w:sz w:val="18"/>
                <w:szCs w:val="18"/>
              </w:rPr>
            </w:pPr>
            <w:r>
              <w:rPr>
                <w:rFonts w:ascii="宋体" w:hAnsi="宋体" w:cs="宋体"/>
                <w:kern w:val="0"/>
                <w:sz w:val="18"/>
                <w:szCs w:val="18"/>
              </w:rPr>
              <w:t>3</w:t>
            </w:r>
          </w:p>
        </w:tc>
        <w:tc>
          <w:tcPr>
            <w:tcW w:w="76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textAlignment w:val="center"/>
              <w:rPr>
                <w:rFonts w:ascii="宋体" w:hAnsi="宋体" w:cs="宋体"/>
                <w:kern w:val="0"/>
                <w:sz w:val="18"/>
                <w:szCs w:val="18"/>
              </w:rPr>
            </w:pPr>
            <w:r>
              <w:rPr>
                <w:rFonts w:ascii="宋体" w:hAnsi="宋体" w:cs="宋体"/>
                <w:kern w:val="0"/>
                <w:sz w:val="18"/>
                <w:szCs w:val="18"/>
              </w:rPr>
              <w:t>4</w:t>
            </w:r>
          </w:p>
        </w:tc>
        <w:tc>
          <w:tcPr>
            <w:tcW w:w="92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textAlignment w:val="center"/>
              <w:rPr>
                <w:rFonts w:ascii="宋体" w:hAnsi="宋体" w:cs="宋体"/>
                <w:kern w:val="0"/>
                <w:sz w:val="18"/>
                <w:szCs w:val="18"/>
              </w:rPr>
            </w:pPr>
            <w:r>
              <w:rPr>
                <w:rFonts w:ascii="宋体" w:hAnsi="宋体" w:cs="宋体"/>
                <w:kern w:val="0"/>
                <w:sz w:val="18"/>
                <w:szCs w:val="18"/>
              </w:rPr>
              <w:t>5</w:t>
            </w:r>
          </w:p>
        </w:tc>
        <w:tc>
          <w:tcPr>
            <w:tcW w:w="92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textAlignment w:val="center"/>
              <w:rPr>
                <w:rFonts w:ascii="宋体" w:hAnsi="宋体" w:cs="宋体"/>
                <w:kern w:val="0"/>
                <w:sz w:val="18"/>
                <w:szCs w:val="18"/>
              </w:rPr>
            </w:pPr>
            <w:r>
              <w:rPr>
                <w:rFonts w:ascii="宋体" w:hAnsi="宋体" w:cs="宋体"/>
                <w:kern w:val="0"/>
                <w:sz w:val="18"/>
                <w:szCs w:val="18"/>
              </w:rPr>
              <w:t>6</w:t>
            </w:r>
          </w:p>
        </w:tc>
        <w:tc>
          <w:tcPr>
            <w:tcW w:w="923" w:type="dxa"/>
            <w:tcBorders>
              <w:top w:val="single" w:color="auto" w:sz="2" w:space="0"/>
              <w:left w:val="single" w:color="auto" w:sz="2" w:space="0"/>
              <w:bottom w:val="single" w:color="auto" w:sz="2" w:space="0"/>
            </w:tcBorders>
            <w:vAlign w:val="center"/>
          </w:tcPr>
          <w:p>
            <w:pPr>
              <w:widowControl/>
              <w:spacing w:line="280" w:lineRule="exact"/>
              <w:jc w:val="center"/>
              <w:textAlignment w:val="center"/>
              <w:rPr>
                <w:rFonts w:ascii="宋体" w:hAnsi="宋体" w:cs="宋体"/>
                <w:kern w:val="0"/>
                <w:sz w:val="18"/>
                <w:szCs w:val="18"/>
              </w:rPr>
            </w:pPr>
            <w:r>
              <w:rPr>
                <w:rFonts w:ascii="宋体" w:hAnsi="宋体" w:cs="宋体"/>
                <w:kern w:val="0"/>
                <w:sz w:val="18"/>
                <w:szCs w:val="18"/>
              </w:rPr>
              <w:t>7</w:t>
            </w:r>
          </w:p>
        </w:tc>
      </w:tr>
      <w:tr>
        <w:tblPrEx>
          <w:tblLayout w:type="fixed"/>
          <w:tblCellMar>
            <w:top w:w="0" w:type="dxa"/>
            <w:left w:w="108" w:type="dxa"/>
            <w:bottom w:w="0" w:type="dxa"/>
            <w:right w:w="108" w:type="dxa"/>
          </w:tblCellMar>
        </w:tblPrEx>
        <w:trPr>
          <w:trHeight w:val="444" w:hRule="atLeast"/>
          <w:jc w:val="center"/>
        </w:trPr>
        <w:tc>
          <w:tcPr>
            <w:tcW w:w="2963" w:type="dxa"/>
            <w:tcBorders>
              <w:top w:val="single" w:color="auto" w:sz="2" w:space="0"/>
              <w:bottom w:val="single" w:color="auto" w:sz="8" w:space="0"/>
              <w:right w:val="single" w:color="auto" w:sz="2" w:space="0"/>
            </w:tcBorders>
            <w:vAlign w:val="center"/>
          </w:tcPr>
          <w:p>
            <w:pPr>
              <w:widowControl/>
              <w:spacing w:line="260" w:lineRule="exact"/>
              <w:rPr>
                <w:kern w:val="0"/>
                <w:sz w:val="18"/>
                <w:szCs w:val="18"/>
              </w:rPr>
            </w:pPr>
          </w:p>
        </w:tc>
        <w:tc>
          <w:tcPr>
            <w:tcW w:w="653" w:type="dxa"/>
            <w:tcBorders>
              <w:top w:val="single" w:color="auto" w:sz="2" w:space="0"/>
              <w:left w:val="single" w:color="auto" w:sz="2" w:space="0"/>
              <w:bottom w:val="single" w:color="auto" w:sz="8" w:space="0"/>
              <w:right w:val="single" w:color="auto" w:sz="2" w:space="0"/>
            </w:tcBorders>
          </w:tcPr>
          <w:p>
            <w:pPr>
              <w:widowControl/>
              <w:spacing w:line="260" w:lineRule="exact"/>
              <w:rPr>
                <w:kern w:val="0"/>
                <w:sz w:val="18"/>
                <w:szCs w:val="18"/>
              </w:rPr>
            </w:pPr>
          </w:p>
        </w:tc>
        <w:tc>
          <w:tcPr>
            <w:tcW w:w="5814" w:type="dxa"/>
            <w:gridSpan w:val="7"/>
            <w:tcBorders>
              <w:top w:val="single" w:color="auto" w:sz="2" w:space="0"/>
              <w:left w:val="single" w:color="auto" w:sz="2" w:space="0"/>
              <w:bottom w:val="single" w:color="auto" w:sz="8" w:space="0"/>
            </w:tcBorders>
          </w:tcPr>
          <w:p>
            <w:pPr>
              <w:widowControl/>
              <w:spacing w:line="260" w:lineRule="exact"/>
              <w:rPr>
                <w:kern w:val="0"/>
                <w:sz w:val="18"/>
                <w:szCs w:val="18"/>
              </w:rPr>
            </w:pPr>
          </w:p>
        </w:tc>
      </w:tr>
    </w:tbl>
    <w:p>
      <w:pPr>
        <w:spacing w:line="320" w:lineRule="exact"/>
        <w:jc w:val="center"/>
        <w:rPr>
          <w:sz w:val="18"/>
          <w:szCs w:val="18"/>
        </w:rPr>
      </w:pPr>
      <w:r>
        <w:rPr>
          <w:sz w:val="18"/>
          <w:szCs w:val="18"/>
        </w:rPr>
        <w:t>单位负责人：                   填表人：  　          联系电话：               报出日期：２０ 　年  月  日</w:t>
      </w:r>
    </w:p>
    <w:p>
      <w:pPr>
        <w:spacing w:line="240" w:lineRule="exact"/>
        <w:rPr>
          <w:rFonts w:eastAsia="仿宋_GB2312"/>
          <w:sz w:val="28"/>
          <w:szCs w:val="28"/>
        </w:rPr>
      </w:pPr>
    </w:p>
    <w:p>
      <w:pPr>
        <w:spacing w:line="240" w:lineRule="exact"/>
        <w:ind w:left="0" w:firstLine="0" w:firstLineChars="0"/>
        <w:rPr>
          <w:rFonts w:ascii="宋体" w:hAnsi="宋体" w:cs="宋体"/>
          <w:sz w:val="18"/>
          <w:szCs w:val="18"/>
        </w:rPr>
      </w:pPr>
      <w:r>
        <w:rPr>
          <w:rFonts w:hint="eastAsia" w:ascii="宋体" w:hAnsi="宋体" w:cs="宋体"/>
          <w:sz w:val="18"/>
          <w:szCs w:val="18"/>
        </w:rPr>
        <w:t>说明：</w:t>
      </w:r>
      <w:r>
        <w:rPr>
          <w:rFonts w:ascii="宋体" w:hAnsi="宋体" w:cs="宋体"/>
          <w:kern w:val="0"/>
          <w:sz w:val="18"/>
          <w:szCs w:val="18"/>
        </w:rPr>
        <w:t>1.</w:t>
      </w:r>
      <w:r>
        <w:rPr>
          <w:rFonts w:hint="eastAsia" w:ascii="宋体" w:hAnsi="宋体" w:cs="宋体"/>
          <w:spacing w:val="-4"/>
          <w:kern w:val="0"/>
          <w:sz w:val="18"/>
          <w:szCs w:val="18"/>
        </w:rPr>
        <w:t>本表由</w:t>
      </w:r>
      <w:r>
        <w:rPr>
          <w:rFonts w:hint="eastAsia" w:ascii="宋体" w:hAnsi="宋体" w:cs="宋体"/>
          <w:spacing w:val="-4"/>
          <w:kern w:val="0"/>
          <w:sz w:val="18"/>
          <w:szCs w:val="18"/>
        </w:rPr>
        <w:t>省电力有限公司</w:t>
      </w:r>
      <w:r>
        <w:rPr>
          <w:rFonts w:hint="eastAsia" w:ascii="宋体" w:hAnsi="宋体" w:cs="宋体"/>
          <w:spacing w:val="-4"/>
          <w:sz w:val="18"/>
        </w:rPr>
        <w:t>收集相关数据。</w:t>
      </w:r>
    </w:p>
    <w:p>
      <w:pPr>
        <w:spacing w:line="240" w:lineRule="exact"/>
        <w:ind w:firstLine="540" w:firstLineChars="300"/>
        <w:rPr>
          <w:rFonts w:ascii="宋体" w:hAnsi="宋体" w:cs="宋体"/>
          <w:kern w:val="0"/>
          <w:sz w:val="18"/>
          <w:szCs w:val="18"/>
        </w:rPr>
      </w:pPr>
      <w:r>
        <w:rPr>
          <w:rFonts w:hint="eastAsia" w:ascii="宋体" w:hAnsi="宋体" w:cs="宋体"/>
          <w:sz w:val="18"/>
        </w:rPr>
        <w:t>2.统计范围为辖区内所有电力消费单位和居民家庭。</w:t>
      </w:r>
    </w:p>
    <w:p>
      <w:pPr>
        <w:spacing w:line="240" w:lineRule="exact"/>
        <w:ind w:left="2115" w:leftChars="257" w:hanging="1575" w:hangingChars="875"/>
        <w:rPr>
          <w:rFonts w:ascii="宋体" w:hAnsi="宋体" w:cs="宋体"/>
          <w:kern w:val="0"/>
          <w:sz w:val="18"/>
          <w:szCs w:val="18"/>
        </w:rPr>
      </w:pPr>
      <w:r>
        <w:rPr>
          <w:rFonts w:hint="eastAsia" w:ascii="宋体" w:hAnsi="宋体" w:cs="宋体"/>
          <w:kern w:val="0"/>
          <w:sz w:val="18"/>
          <w:szCs w:val="18"/>
        </w:rPr>
        <w:t>3.报送日期及方</w:t>
      </w:r>
      <w:r>
        <w:rPr>
          <w:rFonts w:hint="eastAsia" w:ascii="宋体" w:hAnsi="宋体" w:cs="宋体"/>
          <w:sz w:val="18"/>
        </w:rPr>
        <w:t>式：</w:t>
      </w:r>
      <w:r>
        <w:rPr>
          <w:rFonts w:hint="eastAsia" w:ascii="宋体" w:hAnsi="宋体"/>
          <w:sz w:val="18"/>
          <w:szCs w:val="18"/>
        </w:rPr>
        <w:t>2月、10月月后7日，</w:t>
      </w:r>
      <w:r>
        <w:rPr>
          <w:rFonts w:ascii="宋体" w:hAnsi="宋体"/>
          <w:sz w:val="18"/>
          <w:szCs w:val="18"/>
        </w:rPr>
        <w:t>1</w:t>
      </w:r>
      <w:r>
        <w:rPr>
          <w:rFonts w:hint="eastAsia" w:ascii="宋体" w:hAnsi="宋体"/>
          <w:sz w:val="18"/>
          <w:szCs w:val="18"/>
        </w:rPr>
        <w:t>、7月月后8日，9月月后10日，其他月月后6日12:00前网上填报</w:t>
      </w:r>
      <w:r>
        <w:rPr>
          <w:rFonts w:hint="eastAsia" w:ascii="宋体" w:hAnsi="宋体" w:cs="宋体"/>
          <w:sz w:val="18"/>
        </w:rPr>
        <w:t>。</w:t>
      </w:r>
    </w:p>
    <w:p>
      <w:pPr>
        <w:spacing w:line="240" w:lineRule="exact"/>
        <w:ind w:firstLine="540" w:firstLineChars="300"/>
        <w:rPr>
          <w:rFonts w:ascii="宋体" w:hAnsi="宋体" w:cs="宋体"/>
          <w:kern w:val="0"/>
          <w:sz w:val="18"/>
          <w:szCs w:val="18"/>
        </w:rPr>
      </w:pPr>
      <w:r>
        <w:rPr>
          <w:rFonts w:hint="eastAsia" w:ascii="宋体" w:hAnsi="宋体" w:cs="宋体"/>
          <w:kern w:val="0"/>
          <w:sz w:val="18"/>
          <w:szCs w:val="18"/>
        </w:rPr>
        <w:t xml:space="preserve">4.本表甲栏下按《全社会用电量情况目录》填报。 </w:t>
      </w:r>
    </w:p>
    <w:p>
      <w:pPr>
        <w:spacing w:beforeLines="50" w:afterLines="50"/>
        <w:ind w:right="-38" w:rightChars="-18" w:firstLine="1980" w:firstLineChars="1100"/>
        <w:rPr>
          <w:rFonts w:eastAsia="黑体"/>
          <w:sz w:val="32"/>
          <w:szCs w:val="32"/>
        </w:rPr>
      </w:pPr>
      <w:r>
        <w:rPr>
          <w:sz w:val="18"/>
        </w:rPr>
        <w:br w:type="page"/>
      </w:r>
      <w:r>
        <w:rPr>
          <w:rFonts w:eastAsia="黑体"/>
          <w:sz w:val="32"/>
          <w:szCs w:val="32"/>
        </w:rPr>
        <w:t>四、填 报 目 录</w:t>
      </w:r>
    </w:p>
    <w:p>
      <w:pPr>
        <w:spacing w:beforeLines="100" w:afterLines="100"/>
        <w:jc w:val="center"/>
        <w:outlineLvl w:val="1"/>
        <w:rPr>
          <w:rFonts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能源</w:t>
      </w:r>
      <w:r>
        <w:rPr>
          <w:rFonts w:ascii="黑体" w:hAnsi="黑体" w:eastAsia="黑体"/>
          <w:sz w:val="28"/>
          <w:szCs w:val="28"/>
        </w:rPr>
        <w:t>购进、消费与库存和</w:t>
      </w:r>
      <w:r>
        <w:rPr>
          <w:rFonts w:hint="eastAsia" w:ascii="黑体" w:hAnsi="黑体" w:eastAsia="黑体"/>
          <w:sz w:val="28"/>
          <w:szCs w:val="28"/>
        </w:rPr>
        <w:t>能源加工转换与回收利用</w:t>
      </w:r>
      <w:r>
        <w:rPr>
          <w:rFonts w:ascii="黑体" w:hAnsi="黑体" w:eastAsia="黑体"/>
          <w:sz w:val="28"/>
          <w:szCs w:val="28"/>
        </w:rPr>
        <w:t>目录</w:t>
      </w:r>
      <w:r>
        <w:rPr>
          <w:rFonts w:ascii="黑体" w:hAnsi="黑体" w:eastAsia="黑体"/>
          <w:sz w:val="28"/>
          <w:szCs w:val="28"/>
        </w:rPr>
        <w:br w:type="textWrapping"/>
      </w:r>
      <w:r>
        <w:rPr>
          <w:rFonts w:hAnsi="黑体" w:eastAsia="黑体"/>
          <w:sz w:val="28"/>
          <w:szCs w:val="28"/>
        </w:rPr>
        <w:t>（</w:t>
      </w:r>
      <w:r>
        <w:rPr>
          <w:rFonts w:eastAsia="黑体"/>
          <w:sz w:val="28"/>
          <w:szCs w:val="28"/>
        </w:rPr>
        <w:t>205-1</w:t>
      </w:r>
      <w:r>
        <w:rPr>
          <w:rFonts w:hAnsi="黑体" w:eastAsia="黑体"/>
          <w:sz w:val="28"/>
          <w:szCs w:val="28"/>
        </w:rPr>
        <w:t>表、</w:t>
      </w:r>
      <w:r>
        <w:rPr>
          <w:rFonts w:eastAsia="黑体"/>
          <w:sz w:val="28"/>
          <w:szCs w:val="28"/>
        </w:rPr>
        <w:t>205-2</w:t>
      </w:r>
      <w:r>
        <w:rPr>
          <w:rFonts w:hAnsi="黑体" w:eastAsia="黑体"/>
          <w:sz w:val="28"/>
          <w:szCs w:val="28"/>
        </w:rPr>
        <w:t>表）</w:t>
      </w:r>
    </w:p>
    <w:tbl>
      <w:tblPr>
        <w:tblStyle w:val="25"/>
        <w:tblW w:w="949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96"/>
        <w:gridCol w:w="1116"/>
        <w:gridCol w:w="756"/>
        <w:gridCol w:w="2961"/>
        <w:gridCol w:w="246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196" w:type="dxa"/>
            <w:vAlign w:val="center"/>
          </w:tcPr>
          <w:p>
            <w:pPr>
              <w:spacing w:line="260" w:lineRule="exact"/>
              <w:jc w:val="center"/>
              <w:rPr>
                <w:kern w:val="0"/>
                <w:sz w:val="18"/>
                <w:szCs w:val="18"/>
              </w:rPr>
            </w:pPr>
            <w:r>
              <w:rPr>
                <w:kern w:val="0"/>
                <w:sz w:val="18"/>
                <w:szCs w:val="18"/>
              </w:rPr>
              <w:t>能源名称</w:t>
            </w:r>
          </w:p>
        </w:tc>
        <w:tc>
          <w:tcPr>
            <w:tcW w:w="1116" w:type="dxa"/>
            <w:vAlign w:val="center"/>
          </w:tcPr>
          <w:p>
            <w:pPr>
              <w:spacing w:line="260" w:lineRule="exact"/>
              <w:jc w:val="center"/>
              <w:rPr>
                <w:kern w:val="0"/>
                <w:sz w:val="18"/>
                <w:szCs w:val="18"/>
              </w:rPr>
            </w:pPr>
            <w:r>
              <w:rPr>
                <w:kern w:val="0"/>
                <w:sz w:val="18"/>
                <w:szCs w:val="18"/>
              </w:rPr>
              <w:t>计量单位</w:t>
            </w:r>
          </w:p>
        </w:tc>
        <w:tc>
          <w:tcPr>
            <w:tcW w:w="756" w:type="dxa"/>
            <w:vAlign w:val="center"/>
          </w:tcPr>
          <w:p>
            <w:pPr>
              <w:spacing w:line="260" w:lineRule="exact"/>
              <w:jc w:val="center"/>
              <w:rPr>
                <w:kern w:val="0"/>
                <w:sz w:val="18"/>
                <w:szCs w:val="18"/>
              </w:rPr>
            </w:pPr>
            <w:r>
              <w:rPr>
                <w:kern w:val="0"/>
                <w:sz w:val="18"/>
                <w:szCs w:val="18"/>
              </w:rPr>
              <w:t>代码</w:t>
            </w:r>
          </w:p>
        </w:tc>
        <w:tc>
          <w:tcPr>
            <w:tcW w:w="2961" w:type="dxa"/>
            <w:vAlign w:val="center"/>
          </w:tcPr>
          <w:p>
            <w:pPr>
              <w:spacing w:line="260" w:lineRule="exact"/>
              <w:jc w:val="center"/>
              <w:rPr>
                <w:kern w:val="0"/>
                <w:sz w:val="18"/>
                <w:szCs w:val="18"/>
              </w:rPr>
            </w:pPr>
            <w:r>
              <w:rPr>
                <w:kern w:val="0"/>
                <w:sz w:val="18"/>
                <w:szCs w:val="18"/>
              </w:rPr>
              <w:t>参考折标准煤系数</w:t>
            </w:r>
          </w:p>
        </w:tc>
        <w:tc>
          <w:tcPr>
            <w:tcW w:w="2466" w:type="dxa"/>
            <w:vAlign w:val="center"/>
          </w:tcPr>
          <w:p>
            <w:pPr>
              <w:spacing w:line="260" w:lineRule="exact"/>
              <w:jc w:val="center"/>
              <w:rPr>
                <w:kern w:val="0"/>
                <w:sz w:val="18"/>
                <w:szCs w:val="18"/>
              </w:rPr>
            </w:pPr>
            <w:r>
              <w:rPr>
                <w:kern w:val="0"/>
                <w:sz w:val="18"/>
                <w:szCs w:val="18"/>
              </w:rPr>
              <w:t>参考发热量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701" w:hRule="atLeast"/>
          <w:jc w:val="center"/>
        </w:trPr>
        <w:tc>
          <w:tcPr>
            <w:tcW w:w="2196" w:type="dxa"/>
          </w:tcPr>
          <w:p>
            <w:pPr>
              <w:widowControl/>
              <w:spacing w:line="260" w:lineRule="exact"/>
              <w:jc w:val="left"/>
              <w:textAlignment w:val="center"/>
              <w:rPr>
                <w:kern w:val="0"/>
                <w:sz w:val="18"/>
                <w:szCs w:val="18"/>
              </w:rPr>
            </w:pPr>
            <w:r>
              <w:rPr>
                <w:kern w:val="0"/>
                <w:sz w:val="18"/>
                <w:szCs w:val="18"/>
              </w:rPr>
              <w:t>原煤</w:t>
            </w:r>
          </w:p>
          <w:p>
            <w:pPr>
              <w:widowControl/>
              <w:spacing w:line="260" w:lineRule="exact"/>
              <w:jc w:val="left"/>
              <w:textAlignment w:val="center"/>
              <w:rPr>
                <w:kern w:val="0"/>
                <w:sz w:val="18"/>
                <w:szCs w:val="18"/>
              </w:rPr>
            </w:pPr>
            <w:r>
              <w:rPr>
                <w:kern w:val="0"/>
                <w:sz w:val="18"/>
                <w:szCs w:val="18"/>
              </w:rPr>
              <w:t xml:space="preserve">  无烟煤</w:t>
            </w:r>
          </w:p>
          <w:p>
            <w:pPr>
              <w:widowControl/>
              <w:spacing w:line="260" w:lineRule="exact"/>
              <w:ind w:firstLine="180" w:firstLineChars="100"/>
              <w:jc w:val="left"/>
              <w:textAlignment w:val="center"/>
              <w:rPr>
                <w:kern w:val="0"/>
                <w:sz w:val="18"/>
                <w:szCs w:val="18"/>
              </w:rPr>
            </w:pPr>
            <w:r>
              <w:rPr>
                <w:kern w:val="0"/>
                <w:sz w:val="18"/>
                <w:szCs w:val="18"/>
              </w:rPr>
              <w:t>炼焦烟煤</w:t>
            </w:r>
          </w:p>
          <w:p>
            <w:pPr>
              <w:widowControl/>
              <w:spacing w:line="260" w:lineRule="exact"/>
              <w:jc w:val="left"/>
              <w:textAlignment w:val="center"/>
              <w:rPr>
                <w:kern w:val="0"/>
                <w:sz w:val="18"/>
                <w:szCs w:val="18"/>
              </w:rPr>
            </w:pPr>
            <w:r>
              <w:rPr>
                <w:kern w:val="0"/>
                <w:sz w:val="18"/>
                <w:szCs w:val="18"/>
              </w:rPr>
              <w:t xml:space="preserve">  一般烟煤</w:t>
            </w:r>
          </w:p>
          <w:p>
            <w:pPr>
              <w:spacing w:line="260" w:lineRule="exact"/>
              <w:jc w:val="left"/>
              <w:textAlignment w:val="center"/>
              <w:rPr>
                <w:kern w:val="0"/>
                <w:sz w:val="18"/>
                <w:szCs w:val="18"/>
              </w:rPr>
            </w:pPr>
            <w:r>
              <w:rPr>
                <w:kern w:val="0"/>
                <w:sz w:val="18"/>
                <w:szCs w:val="18"/>
              </w:rPr>
              <w:t xml:space="preserve">  褐煤</w:t>
            </w:r>
          </w:p>
          <w:p>
            <w:pPr>
              <w:widowControl/>
              <w:spacing w:line="260" w:lineRule="exact"/>
              <w:jc w:val="left"/>
              <w:textAlignment w:val="center"/>
              <w:rPr>
                <w:kern w:val="0"/>
                <w:sz w:val="18"/>
                <w:szCs w:val="18"/>
              </w:rPr>
            </w:pPr>
            <w:r>
              <w:rPr>
                <w:kern w:val="0"/>
                <w:sz w:val="18"/>
                <w:szCs w:val="18"/>
              </w:rPr>
              <w:t>洗精煤（用于炼焦）</w:t>
            </w:r>
          </w:p>
          <w:p>
            <w:pPr>
              <w:widowControl/>
              <w:spacing w:line="260" w:lineRule="exact"/>
              <w:jc w:val="left"/>
              <w:textAlignment w:val="center"/>
              <w:rPr>
                <w:kern w:val="0"/>
                <w:sz w:val="18"/>
                <w:szCs w:val="18"/>
              </w:rPr>
            </w:pPr>
            <w:r>
              <w:rPr>
                <w:kern w:val="0"/>
                <w:sz w:val="18"/>
                <w:szCs w:val="18"/>
              </w:rPr>
              <w:t>其他洗煤</w:t>
            </w:r>
          </w:p>
          <w:p>
            <w:pPr>
              <w:spacing w:line="260" w:lineRule="exact"/>
              <w:jc w:val="left"/>
              <w:textAlignment w:val="center"/>
              <w:rPr>
                <w:kern w:val="0"/>
                <w:sz w:val="18"/>
                <w:szCs w:val="18"/>
              </w:rPr>
            </w:pPr>
            <w:r>
              <w:rPr>
                <w:kern w:val="0"/>
                <w:sz w:val="18"/>
                <w:szCs w:val="18"/>
              </w:rPr>
              <w:t>煤制品</w:t>
            </w:r>
          </w:p>
          <w:p>
            <w:pPr>
              <w:widowControl/>
              <w:spacing w:line="260" w:lineRule="exact"/>
              <w:jc w:val="left"/>
              <w:textAlignment w:val="center"/>
              <w:rPr>
                <w:kern w:val="0"/>
                <w:sz w:val="18"/>
                <w:szCs w:val="18"/>
              </w:rPr>
            </w:pPr>
            <w:r>
              <w:rPr>
                <w:kern w:val="0"/>
                <w:sz w:val="18"/>
                <w:szCs w:val="18"/>
              </w:rPr>
              <w:t>焦炭</w:t>
            </w:r>
          </w:p>
          <w:p>
            <w:pPr>
              <w:widowControl/>
              <w:spacing w:line="260" w:lineRule="exact"/>
              <w:jc w:val="left"/>
              <w:textAlignment w:val="center"/>
              <w:rPr>
                <w:kern w:val="0"/>
                <w:sz w:val="18"/>
                <w:szCs w:val="18"/>
              </w:rPr>
            </w:pPr>
            <w:r>
              <w:rPr>
                <w:kern w:val="0"/>
                <w:sz w:val="18"/>
                <w:szCs w:val="18"/>
              </w:rPr>
              <w:t>其他焦化产品</w:t>
            </w:r>
          </w:p>
          <w:p>
            <w:pPr>
              <w:widowControl/>
              <w:spacing w:line="260" w:lineRule="exact"/>
              <w:jc w:val="left"/>
              <w:textAlignment w:val="center"/>
              <w:rPr>
                <w:kern w:val="0"/>
                <w:sz w:val="18"/>
                <w:szCs w:val="18"/>
              </w:rPr>
            </w:pPr>
            <w:r>
              <w:rPr>
                <w:kern w:val="0"/>
                <w:sz w:val="18"/>
                <w:szCs w:val="18"/>
              </w:rPr>
              <w:t>焦炉煤气</w:t>
            </w:r>
          </w:p>
          <w:p>
            <w:pPr>
              <w:widowControl/>
              <w:spacing w:line="260" w:lineRule="exact"/>
              <w:jc w:val="left"/>
              <w:textAlignment w:val="center"/>
              <w:rPr>
                <w:kern w:val="0"/>
                <w:sz w:val="18"/>
                <w:szCs w:val="18"/>
              </w:rPr>
            </w:pPr>
            <w:r>
              <w:rPr>
                <w:kern w:val="0"/>
                <w:sz w:val="18"/>
                <w:szCs w:val="18"/>
              </w:rPr>
              <w:t>高炉煤气</w:t>
            </w:r>
          </w:p>
          <w:p>
            <w:pPr>
              <w:widowControl/>
              <w:spacing w:line="260" w:lineRule="exact"/>
              <w:jc w:val="left"/>
              <w:textAlignment w:val="center"/>
              <w:rPr>
                <w:kern w:val="0"/>
                <w:sz w:val="18"/>
                <w:szCs w:val="18"/>
              </w:rPr>
            </w:pPr>
            <w:r>
              <w:rPr>
                <w:kern w:val="0"/>
                <w:sz w:val="18"/>
                <w:szCs w:val="18"/>
              </w:rPr>
              <w:t>转炉煤气</w:t>
            </w:r>
          </w:p>
          <w:p>
            <w:pPr>
              <w:widowControl/>
              <w:spacing w:line="260" w:lineRule="exact"/>
              <w:jc w:val="left"/>
              <w:textAlignment w:val="center"/>
              <w:rPr>
                <w:kern w:val="0"/>
                <w:sz w:val="18"/>
                <w:szCs w:val="18"/>
              </w:rPr>
            </w:pPr>
            <w:r>
              <w:rPr>
                <w:rFonts w:hint="eastAsia"/>
                <w:kern w:val="0"/>
                <w:sz w:val="18"/>
                <w:szCs w:val="18"/>
              </w:rPr>
              <w:t>其他</w:t>
            </w:r>
            <w:r>
              <w:rPr>
                <w:kern w:val="0"/>
                <w:sz w:val="18"/>
                <w:szCs w:val="18"/>
              </w:rPr>
              <w:t>煤气</w:t>
            </w:r>
          </w:p>
          <w:p>
            <w:pPr>
              <w:widowControl/>
              <w:spacing w:line="260" w:lineRule="exact"/>
              <w:jc w:val="left"/>
              <w:textAlignment w:val="center"/>
              <w:rPr>
                <w:kern w:val="0"/>
                <w:sz w:val="18"/>
                <w:szCs w:val="18"/>
              </w:rPr>
            </w:pPr>
            <w:r>
              <w:rPr>
                <w:kern w:val="0"/>
                <w:sz w:val="18"/>
                <w:szCs w:val="18"/>
              </w:rPr>
              <w:t>天然气</w:t>
            </w:r>
          </w:p>
          <w:p>
            <w:pPr>
              <w:widowControl/>
              <w:spacing w:line="260" w:lineRule="exact"/>
              <w:jc w:val="left"/>
              <w:textAlignment w:val="center"/>
              <w:rPr>
                <w:kern w:val="0"/>
                <w:sz w:val="18"/>
                <w:szCs w:val="18"/>
              </w:rPr>
            </w:pPr>
            <w:r>
              <w:rPr>
                <w:kern w:val="0"/>
                <w:sz w:val="18"/>
                <w:szCs w:val="18"/>
              </w:rPr>
              <w:t>液化天然气</w:t>
            </w:r>
          </w:p>
          <w:p>
            <w:pPr>
              <w:widowControl/>
              <w:spacing w:line="260" w:lineRule="exact"/>
              <w:jc w:val="left"/>
              <w:textAlignment w:val="center"/>
              <w:rPr>
                <w:kern w:val="0"/>
                <w:sz w:val="18"/>
                <w:szCs w:val="18"/>
              </w:rPr>
            </w:pPr>
            <w:r>
              <w:rPr>
                <w:rFonts w:hint="eastAsia"/>
                <w:kern w:val="0"/>
                <w:sz w:val="18"/>
                <w:szCs w:val="18"/>
              </w:rPr>
              <w:t>氢气</w:t>
            </w:r>
          </w:p>
          <w:p>
            <w:pPr>
              <w:widowControl/>
              <w:spacing w:line="260" w:lineRule="exact"/>
              <w:jc w:val="left"/>
              <w:textAlignment w:val="center"/>
              <w:rPr>
                <w:kern w:val="0"/>
                <w:sz w:val="18"/>
                <w:szCs w:val="18"/>
              </w:rPr>
            </w:pPr>
            <w:r>
              <w:rPr>
                <w:kern w:val="0"/>
                <w:sz w:val="18"/>
                <w:szCs w:val="18"/>
              </w:rPr>
              <w:t>原油</w:t>
            </w:r>
          </w:p>
          <w:p>
            <w:pPr>
              <w:widowControl/>
              <w:spacing w:line="260" w:lineRule="exact"/>
              <w:jc w:val="left"/>
              <w:textAlignment w:val="center"/>
              <w:rPr>
                <w:kern w:val="0"/>
                <w:sz w:val="18"/>
                <w:szCs w:val="18"/>
              </w:rPr>
            </w:pPr>
            <w:r>
              <w:rPr>
                <w:kern w:val="0"/>
                <w:sz w:val="18"/>
                <w:szCs w:val="18"/>
              </w:rPr>
              <w:t>汽油</w:t>
            </w:r>
          </w:p>
          <w:p>
            <w:pPr>
              <w:widowControl/>
              <w:spacing w:line="260" w:lineRule="exact"/>
              <w:jc w:val="left"/>
              <w:textAlignment w:val="center"/>
              <w:rPr>
                <w:kern w:val="0"/>
                <w:sz w:val="18"/>
                <w:szCs w:val="18"/>
              </w:rPr>
            </w:pPr>
            <w:r>
              <w:rPr>
                <w:kern w:val="0"/>
                <w:sz w:val="18"/>
                <w:szCs w:val="18"/>
              </w:rPr>
              <w:t>煤油</w:t>
            </w:r>
          </w:p>
          <w:p>
            <w:pPr>
              <w:widowControl/>
              <w:spacing w:line="260" w:lineRule="exact"/>
              <w:jc w:val="left"/>
              <w:textAlignment w:val="center"/>
              <w:rPr>
                <w:kern w:val="0"/>
                <w:sz w:val="18"/>
                <w:szCs w:val="18"/>
              </w:rPr>
            </w:pPr>
            <w:r>
              <w:rPr>
                <w:kern w:val="0"/>
                <w:sz w:val="18"/>
                <w:szCs w:val="18"/>
              </w:rPr>
              <w:t>柴油</w:t>
            </w:r>
          </w:p>
          <w:p>
            <w:pPr>
              <w:widowControl/>
              <w:spacing w:line="260" w:lineRule="exact"/>
              <w:jc w:val="left"/>
              <w:textAlignment w:val="center"/>
              <w:rPr>
                <w:kern w:val="0"/>
                <w:sz w:val="18"/>
                <w:szCs w:val="18"/>
              </w:rPr>
            </w:pPr>
            <w:r>
              <w:rPr>
                <w:kern w:val="0"/>
                <w:sz w:val="18"/>
                <w:szCs w:val="18"/>
              </w:rPr>
              <w:t>燃料油</w:t>
            </w:r>
          </w:p>
          <w:p>
            <w:pPr>
              <w:widowControl/>
              <w:spacing w:line="260" w:lineRule="exact"/>
              <w:jc w:val="left"/>
              <w:textAlignment w:val="center"/>
              <w:rPr>
                <w:kern w:val="0"/>
                <w:sz w:val="18"/>
                <w:szCs w:val="18"/>
              </w:rPr>
            </w:pPr>
            <w:r>
              <w:rPr>
                <w:kern w:val="0"/>
                <w:sz w:val="18"/>
                <w:szCs w:val="18"/>
              </w:rPr>
              <w:t>液化石油气</w:t>
            </w:r>
          </w:p>
          <w:p>
            <w:pPr>
              <w:spacing w:line="260" w:lineRule="exact"/>
              <w:jc w:val="left"/>
              <w:textAlignment w:val="center"/>
              <w:rPr>
                <w:kern w:val="0"/>
                <w:sz w:val="18"/>
                <w:szCs w:val="18"/>
              </w:rPr>
            </w:pPr>
            <w:r>
              <w:rPr>
                <w:kern w:val="0"/>
                <w:sz w:val="18"/>
                <w:szCs w:val="18"/>
              </w:rPr>
              <w:t>炼厂干气</w:t>
            </w:r>
          </w:p>
          <w:p>
            <w:pPr>
              <w:spacing w:line="260" w:lineRule="exact"/>
              <w:textAlignment w:val="center"/>
              <w:rPr>
                <w:kern w:val="0"/>
                <w:sz w:val="18"/>
                <w:szCs w:val="18"/>
              </w:rPr>
            </w:pPr>
            <w:r>
              <w:rPr>
                <w:kern w:val="0"/>
                <w:sz w:val="18"/>
                <w:szCs w:val="18"/>
              </w:rPr>
              <w:t>石脑油</w:t>
            </w:r>
          </w:p>
          <w:p>
            <w:pPr>
              <w:spacing w:line="260" w:lineRule="exact"/>
              <w:textAlignment w:val="center"/>
              <w:rPr>
                <w:kern w:val="0"/>
                <w:sz w:val="18"/>
                <w:szCs w:val="18"/>
              </w:rPr>
            </w:pPr>
            <w:r>
              <w:rPr>
                <w:kern w:val="0"/>
                <w:sz w:val="18"/>
                <w:szCs w:val="18"/>
              </w:rPr>
              <w:t>润滑油</w:t>
            </w:r>
          </w:p>
          <w:p>
            <w:pPr>
              <w:spacing w:line="260" w:lineRule="exact"/>
              <w:textAlignment w:val="center"/>
              <w:rPr>
                <w:kern w:val="0"/>
                <w:sz w:val="18"/>
                <w:szCs w:val="18"/>
              </w:rPr>
            </w:pPr>
            <w:r>
              <w:rPr>
                <w:kern w:val="0"/>
                <w:sz w:val="18"/>
                <w:szCs w:val="18"/>
              </w:rPr>
              <w:t>石蜡</w:t>
            </w:r>
          </w:p>
          <w:p>
            <w:pPr>
              <w:spacing w:line="260" w:lineRule="exact"/>
              <w:textAlignment w:val="center"/>
              <w:rPr>
                <w:kern w:val="0"/>
                <w:sz w:val="18"/>
                <w:szCs w:val="18"/>
              </w:rPr>
            </w:pPr>
            <w:r>
              <w:rPr>
                <w:kern w:val="0"/>
                <w:sz w:val="18"/>
                <w:szCs w:val="18"/>
              </w:rPr>
              <w:t>溶剂油</w:t>
            </w:r>
          </w:p>
          <w:p>
            <w:pPr>
              <w:spacing w:line="260" w:lineRule="exact"/>
              <w:textAlignment w:val="center"/>
              <w:rPr>
                <w:kern w:val="0"/>
                <w:sz w:val="18"/>
                <w:szCs w:val="18"/>
              </w:rPr>
            </w:pPr>
            <w:r>
              <w:rPr>
                <w:kern w:val="0"/>
                <w:sz w:val="18"/>
                <w:szCs w:val="18"/>
              </w:rPr>
              <w:t>石油焦</w:t>
            </w:r>
          </w:p>
          <w:p>
            <w:pPr>
              <w:spacing w:line="260" w:lineRule="exact"/>
              <w:jc w:val="left"/>
              <w:textAlignment w:val="center"/>
              <w:rPr>
                <w:kern w:val="0"/>
                <w:sz w:val="18"/>
                <w:szCs w:val="18"/>
              </w:rPr>
            </w:pPr>
            <w:r>
              <w:rPr>
                <w:kern w:val="0"/>
                <w:sz w:val="18"/>
                <w:szCs w:val="18"/>
              </w:rPr>
              <w:t>石油沥青</w:t>
            </w:r>
          </w:p>
          <w:p>
            <w:pPr>
              <w:spacing w:line="260" w:lineRule="exact"/>
              <w:textAlignment w:val="center"/>
              <w:rPr>
                <w:kern w:val="0"/>
                <w:sz w:val="18"/>
                <w:szCs w:val="18"/>
              </w:rPr>
            </w:pPr>
            <w:r>
              <w:rPr>
                <w:kern w:val="0"/>
                <w:sz w:val="18"/>
                <w:szCs w:val="18"/>
              </w:rPr>
              <w:t>其他石油制品</w:t>
            </w:r>
          </w:p>
          <w:p>
            <w:pPr>
              <w:widowControl/>
              <w:spacing w:line="260" w:lineRule="exact"/>
              <w:textAlignment w:val="center"/>
              <w:rPr>
                <w:kern w:val="0"/>
                <w:sz w:val="18"/>
                <w:szCs w:val="18"/>
              </w:rPr>
            </w:pPr>
            <w:r>
              <w:rPr>
                <w:kern w:val="0"/>
                <w:sz w:val="18"/>
                <w:szCs w:val="18"/>
              </w:rPr>
              <w:t>热力</w:t>
            </w:r>
          </w:p>
          <w:p>
            <w:pPr>
              <w:widowControl/>
              <w:spacing w:line="260" w:lineRule="exact"/>
              <w:textAlignment w:val="center"/>
              <w:rPr>
                <w:kern w:val="0"/>
                <w:sz w:val="18"/>
                <w:szCs w:val="18"/>
              </w:rPr>
            </w:pPr>
            <w:r>
              <w:rPr>
                <w:kern w:val="0"/>
                <w:sz w:val="18"/>
                <w:szCs w:val="18"/>
              </w:rPr>
              <w:t>电力</w:t>
            </w:r>
          </w:p>
          <w:p>
            <w:pPr>
              <w:widowControl/>
              <w:spacing w:line="260" w:lineRule="exact"/>
              <w:jc w:val="left"/>
              <w:textAlignment w:val="center"/>
              <w:rPr>
                <w:kern w:val="0"/>
                <w:sz w:val="18"/>
                <w:szCs w:val="18"/>
              </w:rPr>
            </w:pPr>
            <w:r>
              <w:rPr>
                <w:kern w:val="0"/>
                <w:sz w:val="18"/>
                <w:szCs w:val="18"/>
              </w:rPr>
              <w:t>煤矸石（用于燃料）</w:t>
            </w:r>
          </w:p>
          <w:p>
            <w:pPr>
              <w:spacing w:line="260" w:lineRule="exact"/>
              <w:ind w:left="1" w:hanging="1"/>
              <w:jc w:val="left"/>
              <w:textAlignment w:val="center"/>
              <w:rPr>
                <w:kern w:val="0"/>
                <w:sz w:val="18"/>
                <w:szCs w:val="18"/>
              </w:rPr>
            </w:pPr>
            <w:r>
              <w:rPr>
                <w:kern w:val="0"/>
                <w:sz w:val="18"/>
                <w:szCs w:val="18"/>
              </w:rPr>
              <w:t>城市生活垃圾（用于燃料）</w:t>
            </w:r>
          </w:p>
          <w:p>
            <w:pPr>
              <w:spacing w:line="260" w:lineRule="exact"/>
              <w:jc w:val="left"/>
              <w:textAlignment w:val="center"/>
              <w:rPr>
                <w:sz w:val="18"/>
                <w:szCs w:val="18"/>
              </w:rPr>
            </w:pPr>
            <w:r>
              <w:rPr>
                <w:kern w:val="0"/>
                <w:sz w:val="18"/>
                <w:szCs w:val="18"/>
              </w:rPr>
              <w:t>生物</w:t>
            </w:r>
            <w:r>
              <w:rPr>
                <w:sz w:val="18"/>
                <w:szCs w:val="18"/>
              </w:rPr>
              <w:t>燃料</w:t>
            </w:r>
          </w:p>
          <w:p>
            <w:pPr>
              <w:spacing w:line="260" w:lineRule="exact"/>
              <w:jc w:val="left"/>
              <w:textAlignment w:val="center"/>
              <w:rPr>
                <w:sz w:val="18"/>
                <w:szCs w:val="18"/>
              </w:rPr>
            </w:pPr>
            <w:r>
              <w:rPr>
                <w:kern w:val="0"/>
                <w:sz w:val="18"/>
                <w:szCs w:val="18"/>
              </w:rPr>
              <w:t>余热余压</w:t>
            </w:r>
          </w:p>
          <w:p>
            <w:pPr>
              <w:spacing w:line="260" w:lineRule="exact"/>
              <w:jc w:val="left"/>
              <w:textAlignment w:val="center"/>
              <w:rPr>
                <w:kern w:val="0"/>
                <w:sz w:val="18"/>
                <w:szCs w:val="18"/>
              </w:rPr>
            </w:pPr>
            <w:r>
              <w:rPr>
                <w:kern w:val="0"/>
                <w:sz w:val="18"/>
                <w:szCs w:val="18"/>
              </w:rPr>
              <w:t>工业废料（用于燃料）</w:t>
            </w:r>
          </w:p>
          <w:p>
            <w:pPr>
              <w:spacing w:line="260" w:lineRule="exact"/>
              <w:jc w:val="left"/>
              <w:textAlignment w:val="center"/>
              <w:rPr>
                <w:kern w:val="0"/>
                <w:sz w:val="18"/>
                <w:szCs w:val="18"/>
              </w:rPr>
            </w:pPr>
            <w:r>
              <w:rPr>
                <w:kern w:val="0"/>
                <w:sz w:val="18"/>
                <w:szCs w:val="18"/>
              </w:rPr>
              <w:t>其他燃料</w:t>
            </w:r>
          </w:p>
          <w:p>
            <w:pPr>
              <w:widowControl/>
              <w:spacing w:line="260" w:lineRule="exact"/>
              <w:textAlignment w:val="center"/>
              <w:rPr>
                <w:kern w:val="0"/>
                <w:sz w:val="18"/>
                <w:szCs w:val="18"/>
              </w:rPr>
            </w:pPr>
            <w:r>
              <w:rPr>
                <w:sz w:val="18"/>
                <w:szCs w:val="18"/>
              </w:rPr>
              <w:t>能源合计</w:t>
            </w:r>
          </w:p>
        </w:tc>
        <w:tc>
          <w:tcPr>
            <w:tcW w:w="1116" w:type="dxa"/>
          </w:tcPr>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万立方米</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widowControl/>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百万千焦</w:t>
            </w:r>
          </w:p>
          <w:p>
            <w:pPr>
              <w:widowControl/>
              <w:spacing w:line="260" w:lineRule="exact"/>
              <w:jc w:val="center"/>
              <w:textAlignment w:val="center"/>
              <w:rPr>
                <w:kern w:val="0"/>
                <w:sz w:val="18"/>
                <w:szCs w:val="18"/>
              </w:rPr>
            </w:pPr>
            <w:r>
              <w:rPr>
                <w:kern w:val="0"/>
                <w:sz w:val="18"/>
                <w:szCs w:val="18"/>
              </w:rPr>
              <w:t>万千瓦时</w:t>
            </w:r>
          </w:p>
          <w:p>
            <w:pPr>
              <w:widowControl/>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吨标准煤</w:t>
            </w:r>
          </w:p>
          <w:p>
            <w:pPr>
              <w:spacing w:line="260" w:lineRule="exact"/>
              <w:jc w:val="center"/>
              <w:textAlignment w:val="center"/>
              <w:rPr>
                <w:kern w:val="0"/>
                <w:sz w:val="18"/>
                <w:szCs w:val="18"/>
              </w:rPr>
            </w:pPr>
            <w:r>
              <w:rPr>
                <w:kern w:val="0"/>
                <w:sz w:val="18"/>
                <w:szCs w:val="18"/>
              </w:rPr>
              <w:t>百万千焦</w:t>
            </w:r>
          </w:p>
          <w:p>
            <w:pPr>
              <w:spacing w:line="260" w:lineRule="exact"/>
              <w:jc w:val="center"/>
              <w:textAlignment w:val="center"/>
              <w:rPr>
                <w:kern w:val="0"/>
                <w:sz w:val="18"/>
                <w:szCs w:val="18"/>
              </w:rPr>
            </w:pPr>
            <w:r>
              <w:rPr>
                <w:kern w:val="0"/>
                <w:sz w:val="18"/>
                <w:szCs w:val="18"/>
              </w:rPr>
              <w:t>吨</w:t>
            </w:r>
          </w:p>
          <w:p>
            <w:pPr>
              <w:spacing w:line="260" w:lineRule="exact"/>
              <w:jc w:val="center"/>
              <w:textAlignment w:val="center"/>
              <w:rPr>
                <w:kern w:val="0"/>
                <w:sz w:val="18"/>
                <w:szCs w:val="18"/>
              </w:rPr>
            </w:pPr>
            <w:r>
              <w:rPr>
                <w:kern w:val="0"/>
                <w:sz w:val="18"/>
                <w:szCs w:val="18"/>
              </w:rPr>
              <w:t>吨标准煤</w:t>
            </w:r>
          </w:p>
          <w:p>
            <w:pPr>
              <w:widowControl/>
              <w:spacing w:line="260" w:lineRule="exact"/>
              <w:jc w:val="center"/>
              <w:textAlignment w:val="center"/>
              <w:rPr>
                <w:kern w:val="0"/>
                <w:sz w:val="18"/>
                <w:szCs w:val="18"/>
              </w:rPr>
            </w:pPr>
            <w:r>
              <w:rPr>
                <w:kern w:val="0"/>
                <w:sz w:val="18"/>
                <w:szCs w:val="18"/>
              </w:rPr>
              <w:t>吨标准煤</w:t>
            </w:r>
          </w:p>
        </w:tc>
        <w:tc>
          <w:tcPr>
            <w:tcW w:w="756" w:type="dxa"/>
          </w:tcPr>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01</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02</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03</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04</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05</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06</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07</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08</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09</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10</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11</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12</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13</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14</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15</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16</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17</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18</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19</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20</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21</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22</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23</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24</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25</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26</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27</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28</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29</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30</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31</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32</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33</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34</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35</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36</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37</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38</w:t>
            </w:r>
          </w:p>
          <w:p>
            <w:pPr>
              <w:spacing w:line="260" w:lineRule="exact"/>
              <w:jc w:val="center"/>
              <w:textAlignment w:val="center"/>
              <w:rPr>
                <w:rFonts w:ascii="宋体" w:hAnsi="宋体" w:cs="宋体"/>
                <w:kern w:val="0"/>
                <w:sz w:val="18"/>
                <w:szCs w:val="18"/>
              </w:rPr>
            </w:pPr>
            <w:r>
              <w:rPr>
                <w:rFonts w:ascii="宋体" w:hAnsi="宋体" w:cs="宋体"/>
                <w:kern w:val="0"/>
                <w:sz w:val="18"/>
                <w:szCs w:val="18"/>
              </w:rPr>
              <w:t>39</w:t>
            </w:r>
          </w:p>
          <w:p>
            <w:pPr>
              <w:widowControl/>
              <w:spacing w:line="260" w:lineRule="exact"/>
              <w:jc w:val="center"/>
              <w:textAlignment w:val="center"/>
              <w:rPr>
                <w:rFonts w:ascii="宋体" w:hAnsi="宋体" w:cs="宋体"/>
                <w:kern w:val="0"/>
                <w:sz w:val="18"/>
                <w:szCs w:val="18"/>
              </w:rPr>
            </w:pPr>
            <w:r>
              <w:rPr>
                <w:rFonts w:ascii="宋体" w:hAnsi="宋体" w:cs="宋体"/>
                <w:kern w:val="0"/>
                <w:sz w:val="18"/>
                <w:szCs w:val="18"/>
              </w:rPr>
              <w:t>40</w:t>
            </w:r>
          </w:p>
        </w:tc>
        <w:tc>
          <w:tcPr>
            <w:tcW w:w="2961" w:type="dxa"/>
          </w:tcPr>
          <w:p>
            <w:pPr>
              <w:widowControl/>
              <w:spacing w:line="260" w:lineRule="exact"/>
              <w:jc w:val="center"/>
              <w:textAlignment w:val="center"/>
              <w:rPr>
                <w:rFonts w:ascii="宋体" w:hAnsi="宋体" w:cs="宋体"/>
                <w:b/>
                <w:kern w:val="0"/>
                <w:sz w:val="18"/>
                <w:szCs w:val="18"/>
              </w:rPr>
            </w:pPr>
            <w:r>
              <w:rPr>
                <w:rFonts w:ascii="宋体" w:hAnsi="宋体" w:cs="宋体"/>
                <w:b/>
                <w:kern w:val="0"/>
                <w:sz w:val="18"/>
                <w:szCs w:val="18"/>
              </w:rPr>
              <w:t>—</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0.9428吨标准煤/吨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0.9吨标准煤/吨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0.7143吨标准煤/吨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0.4286吨标准煤/吨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0.9吨标准煤/吨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0.4643-0.9吨标准煤/吨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0.5286吨标准煤/吨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0.9714吨标准煤/吨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1.1-1.5吨标准煤/吨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5.714-6.143吨标准煤/万立方米</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1.286吨标准煤/万立方米</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2.714吨标准煤/万立方米</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1.786吨标准煤/万立方米</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11.0-13.3吨标准煤/万立方米</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1.7572吨标准煤/吨</w:t>
            </w:r>
          </w:p>
          <w:p>
            <w:pPr>
              <w:spacing w:line="260" w:lineRule="exact"/>
              <w:textAlignment w:val="center"/>
              <w:rPr>
                <w:rFonts w:ascii="宋体" w:hAnsi="宋体" w:cs="宋体"/>
                <w:kern w:val="0"/>
                <w:sz w:val="18"/>
                <w:szCs w:val="18"/>
              </w:rPr>
            </w:pPr>
            <w:r>
              <w:rPr>
                <w:rFonts w:ascii="宋体" w:hAnsi="宋体" w:cs="宋体"/>
                <w:kern w:val="0"/>
                <w:sz w:val="18"/>
                <w:szCs w:val="18"/>
              </w:rPr>
              <w:t>4.361</w:t>
            </w:r>
            <w:r>
              <w:rPr>
                <w:rFonts w:hint="eastAsia" w:ascii="宋体" w:hAnsi="宋体" w:cs="宋体"/>
                <w:kern w:val="0"/>
                <w:sz w:val="18"/>
                <w:szCs w:val="18"/>
              </w:rPr>
              <w:t>吨标准煤/万立方米</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1.4286吨标准煤/吨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1.4714吨标准煤/吨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1.4714吨标准煤/吨</w:t>
            </w:r>
          </w:p>
          <w:p>
            <w:pPr>
              <w:widowControl/>
              <w:spacing w:line="260" w:lineRule="exact"/>
              <w:textAlignment w:val="center"/>
              <w:rPr>
                <w:rFonts w:ascii="宋体" w:hAnsi="宋体" w:cs="宋体"/>
                <w:kern w:val="0"/>
                <w:sz w:val="18"/>
                <w:szCs w:val="18"/>
              </w:rPr>
            </w:pPr>
            <w:r>
              <w:rPr>
                <w:rFonts w:hint="eastAsia" w:ascii="宋体" w:hAnsi="宋体" w:cs="宋体"/>
                <w:kern w:val="0"/>
                <w:sz w:val="18"/>
                <w:szCs w:val="18"/>
              </w:rPr>
              <w:t>1.4571吨标准煤/吨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1.4286吨标准煤/吨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1.7143吨标准煤/吨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1.5714吨标准煤/吨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1.5吨标准煤/吨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1.4143吨标准煤/吨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1.3648吨标准煤/吨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1.4672吨标准煤/吨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1.0918吨标准煤/吨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1.3307吨标准煤/吨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1.4吨标准煤/吨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0.0341吨标准煤/百万千焦</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1.229吨标准煤/万千瓦时</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0.2857吨标准煤/吨</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0.2714吨标准煤/吨</w:t>
            </w:r>
          </w:p>
          <w:p>
            <w:pPr>
              <w:spacing w:line="260" w:lineRule="exact"/>
              <w:textAlignment w:val="center"/>
              <w:rPr>
                <w:rFonts w:ascii="宋体" w:hAnsi="宋体" w:cs="宋体"/>
                <w:kern w:val="0"/>
                <w:sz w:val="18"/>
                <w:szCs w:val="18"/>
              </w:rPr>
            </w:pPr>
            <w:r>
              <w:rPr>
                <w:rFonts w:ascii="宋体" w:hAnsi="宋体" w:cs="宋体"/>
                <w:kern w:val="0"/>
                <w:sz w:val="18"/>
                <w:szCs w:val="18"/>
              </w:rPr>
              <w:t>1</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0.0341吨标准煤/百万千焦</w:t>
            </w:r>
          </w:p>
          <w:p>
            <w:pPr>
              <w:spacing w:line="260" w:lineRule="exact"/>
              <w:textAlignment w:val="center"/>
              <w:rPr>
                <w:rFonts w:ascii="宋体" w:hAnsi="宋体" w:cs="宋体"/>
                <w:kern w:val="0"/>
                <w:sz w:val="18"/>
                <w:szCs w:val="18"/>
              </w:rPr>
            </w:pPr>
            <w:r>
              <w:rPr>
                <w:rFonts w:hint="eastAsia" w:ascii="宋体" w:hAnsi="宋体" w:cs="宋体"/>
                <w:kern w:val="0"/>
                <w:sz w:val="18"/>
                <w:szCs w:val="18"/>
              </w:rPr>
              <w:t>0.4285吨标准煤/吨</w:t>
            </w:r>
          </w:p>
          <w:p>
            <w:pPr>
              <w:spacing w:line="260" w:lineRule="exact"/>
              <w:textAlignment w:val="center"/>
              <w:rPr>
                <w:rFonts w:ascii="宋体" w:hAnsi="宋体" w:cs="宋体"/>
                <w:kern w:val="0"/>
                <w:sz w:val="18"/>
                <w:szCs w:val="18"/>
              </w:rPr>
            </w:pPr>
            <w:r>
              <w:rPr>
                <w:rFonts w:ascii="宋体" w:hAnsi="宋体" w:cs="宋体"/>
                <w:kern w:val="0"/>
                <w:sz w:val="18"/>
                <w:szCs w:val="18"/>
              </w:rPr>
              <w:t>1</w:t>
            </w:r>
          </w:p>
          <w:p>
            <w:pPr>
              <w:spacing w:line="260" w:lineRule="exact"/>
              <w:jc w:val="center"/>
              <w:textAlignment w:val="center"/>
              <w:rPr>
                <w:rFonts w:ascii="宋体" w:hAnsi="宋体" w:cs="宋体"/>
                <w:b/>
                <w:kern w:val="0"/>
                <w:sz w:val="18"/>
                <w:szCs w:val="18"/>
              </w:rPr>
            </w:pPr>
            <w:r>
              <w:rPr>
                <w:rFonts w:ascii="宋体" w:hAnsi="宋体" w:cs="宋体"/>
                <w:b/>
                <w:kern w:val="0"/>
                <w:sz w:val="18"/>
                <w:szCs w:val="18"/>
              </w:rPr>
              <w:t>—</w:t>
            </w:r>
          </w:p>
        </w:tc>
        <w:tc>
          <w:tcPr>
            <w:tcW w:w="2466" w:type="dxa"/>
          </w:tcPr>
          <w:p>
            <w:pPr>
              <w:widowControl/>
              <w:spacing w:line="260" w:lineRule="exact"/>
              <w:jc w:val="center"/>
              <w:textAlignment w:val="center"/>
              <w:rPr>
                <w:rFonts w:ascii="宋体" w:hAnsi="宋体" w:cs="宋体"/>
                <w:b/>
                <w:kern w:val="0"/>
                <w:sz w:val="18"/>
                <w:szCs w:val="18"/>
              </w:rPr>
            </w:pPr>
            <w:r>
              <w:rPr>
                <w:rFonts w:ascii="宋体" w:hAnsi="宋体" w:cs="宋体"/>
                <w:b/>
                <w:kern w:val="0"/>
                <w:sz w:val="18"/>
                <w:szCs w:val="18"/>
              </w:rPr>
              <w:t>—</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约6000千卡/千克以上</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约6000千卡/千克以上</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约4500-5500千卡/千克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约2500-3500千卡/千克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约6000千卡/千克以上</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约2500-6000千卡/千克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约3000-5000千卡/千克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约6800千卡/千克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约7700-10500千卡/千克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约4000-4300千卡/立方米</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约900千卡/立方米</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约1900千卡/立方米</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约1250千卡/立方米</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约7700-9300千卡/立方米</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约12300千卡/千克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w:t>
            </w:r>
            <w:r>
              <w:rPr>
                <w:rFonts w:hint="eastAsia" w:ascii="宋体" w:hAnsi="宋体" w:cs="宋体"/>
                <w:kern w:val="0"/>
                <w:sz w:val="18"/>
                <w:szCs w:val="18"/>
              </w:rPr>
              <w:t>142000千焦耳</w:t>
            </w:r>
            <w:r>
              <w:rPr>
                <w:rFonts w:ascii="宋体" w:hAnsi="宋体" w:cs="宋体"/>
                <w:kern w:val="0"/>
                <w:sz w:val="18"/>
                <w:szCs w:val="18"/>
              </w:rPr>
              <w:t>/</w:t>
            </w:r>
            <w:r>
              <w:rPr>
                <w:rFonts w:hint="eastAsia" w:ascii="宋体" w:hAnsi="宋体" w:cs="宋体"/>
                <w:kern w:val="0"/>
                <w:sz w:val="18"/>
                <w:szCs w:val="18"/>
              </w:rPr>
              <w:t>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约10000千卡/千克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约10300千卡/千克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约10300千卡/千克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约10200千卡/千克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约10000千卡/千克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约12000千卡/千克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约11000千卡/千克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约10500千卡/千克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约9900千卡/千克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约9550千卡/千克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约10270千卡/千克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约7640千卡/千克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约9310千卡/千克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约9800千卡/千克</w:t>
            </w:r>
          </w:p>
          <w:p>
            <w:pPr>
              <w:spacing w:line="260" w:lineRule="exact"/>
              <w:jc w:val="center"/>
              <w:textAlignment w:val="center"/>
              <w:rPr>
                <w:rFonts w:ascii="宋体" w:hAnsi="宋体" w:cs="宋体"/>
                <w:kern w:val="0"/>
                <w:sz w:val="18"/>
                <w:szCs w:val="18"/>
              </w:rPr>
            </w:pPr>
            <w:r>
              <w:rPr>
                <w:rFonts w:ascii="宋体" w:hAnsi="宋体" w:cs="宋体"/>
                <w:b/>
                <w:bCs/>
                <w:kern w:val="0"/>
                <w:sz w:val="18"/>
                <w:szCs w:val="18"/>
              </w:rPr>
              <w:t>—</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860千卡/千瓦时</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约2000千卡/千克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约1900千卡/千克</w:t>
            </w:r>
          </w:p>
          <w:p>
            <w:pPr>
              <w:spacing w:line="260" w:lineRule="exact"/>
              <w:jc w:val="left"/>
              <w:textAlignment w:val="center"/>
              <w:rPr>
                <w:rFonts w:ascii="宋体" w:hAnsi="宋体" w:cs="宋体"/>
                <w:kern w:val="0"/>
                <w:sz w:val="18"/>
                <w:szCs w:val="18"/>
              </w:rPr>
            </w:pPr>
            <w:r>
              <w:rPr>
                <w:rFonts w:hint="eastAsia" w:ascii="宋体" w:hAnsi="宋体" w:cs="宋体"/>
                <w:kern w:val="0"/>
                <w:sz w:val="18"/>
                <w:szCs w:val="18"/>
              </w:rPr>
              <w:t>7000千卡/千克标准煤</w:t>
            </w:r>
          </w:p>
          <w:p>
            <w:pPr>
              <w:spacing w:line="260" w:lineRule="exact"/>
              <w:jc w:val="center"/>
              <w:textAlignment w:val="center"/>
              <w:rPr>
                <w:rFonts w:ascii="宋体" w:hAnsi="宋体" w:cs="宋体"/>
                <w:kern w:val="0"/>
                <w:sz w:val="18"/>
                <w:szCs w:val="18"/>
              </w:rPr>
            </w:pPr>
            <w:r>
              <w:rPr>
                <w:rFonts w:ascii="宋体" w:hAnsi="宋体" w:cs="宋体"/>
                <w:b/>
                <w:bCs/>
                <w:kern w:val="0"/>
                <w:sz w:val="18"/>
                <w:szCs w:val="18"/>
              </w:rPr>
              <w:t>—</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约3000千卡/千克</w:t>
            </w:r>
          </w:p>
          <w:p>
            <w:pPr>
              <w:widowControl/>
              <w:spacing w:line="260" w:lineRule="exact"/>
              <w:jc w:val="left"/>
              <w:textAlignment w:val="center"/>
              <w:rPr>
                <w:rFonts w:ascii="宋体" w:hAnsi="宋体" w:cs="宋体"/>
                <w:kern w:val="0"/>
                <w:sz w:val="18"/>
                <w:szCs w:val="18"/>
              </w:rPr>
            </w:pPr>
            <w:r>
              <w:rPr>
                <w:rFonts w:hint="eastAsia" w:ascii="宋体" w:hAnsi="宋体" w:cs="宋体"/>
                <w:kern w:val="0"/>
                <w:sz w:val="18"/>
                <w:szCs w:val="18"/>
              </w:rPr>
              <w:t>7000千卡/千克标准煤</w:t>
            </w:r>
          </w:p>
          <w:p>
            <w:pPr>
              <w:widowControl/>
              <w:spacing w:line="260" w:lineRule="exact"/>
              <w:jc w:val="center"/>
              <w:textAlignment w:val="center"/>
              <w:rPr>
                <w:rFonts w:ascii="宋体" w:hAnsi="宋体" w:cs="宋体"/>
                <w:kern w:val="0"/>
                <w:sz w:val="18"/>
                <w:szCs w:val="18"/>
              </w:rPr>
            </w:pPr>
            <w:r>
              <w:rPr>
                <w:rFonts w:ascii="宋体" w:hAnsi="宋体" w:cs="宋体"/>
                <w:b/>
                <w:bCs/>
                <w:kern w:val="0"/>
                <w:sz w:val="18"/>
                <w:szCs w:val="18"/>
              </w:rPr>
              <w:t>—</w:t>
            </w:r>
          </w:p>
        </w:tc>
      </w:tr>
    </w:tbl>
    <w:p>
      <w:pPr>
        <w:spacing w:line="280" w:lineRule="exact"/>
        <w:ind w:firstLine="360" w:firstLineChars="200"/>
        <w:rPr>
          <w:sz w:val="18"/>
          <w:szCs w:val="18"/>
        </w:rPr>
      </w:pPr>
    </w:p>
    <w:p>
      <w:pPr>
        <w:spacing w:line="280" w:lineRule="exact"/>
        <w:ind w:firstLine="360" w:firstLineChars="200"/>
        <w:rPr>
          <w:sz w:val="18"/>
          <w:szCs w:val="18"/>
        </w:rPr>
      </w:pPr>
      <w:r>
        <w:rPr>
          <w:sz w:val="18"/>
          <w:szCs w:val="18"/>
        </w:rPr>
        <w:t>说明：</w:t>
      </w:r>
    </w:p>
    <w:p>
      <w:pPr>
        <w:spacing w:line="280" w:lineRule="exact"/>
        <w:ind w:firstLine="360" w:firstLineChars="200"/>
        <w:rPr>
          <w:rFonts w:ascii="宋体" w:hAnsi="宋体" w:cs="宋体"/>
          <w:sz w:val="18"/>
          <w:szCs w:val="18"/>
        </w:rPr>
      </w:pPr>
      <w:r>
        <w:rPr>
          <w:rFonts w:hint="eastAsia" w:ascii="宋体" w:hAnsi="宋体" w:cs="宋体"/>
          <w:sz w:val="18"/>
          <w:szCs w:val="18"/>
        </w:rPr>
        <w:t>1.原煤＝无烟煤＋炼焦烟煤＋一般烟煤＋褐煤。</w:t>
      </w:r>
    </w:p>
    <w:p>
      <w:pPr>
        <w:spacing w:line="280" w:lineRule="exact"/>
        <w:ind w:firstLine="360" w:firstLineChars="200"/>
        <w:rPr>
          <w:rFonts w:ascii="宋体" w:hAnsi="宋体" w:cs="宋体"/>
          <w:sz w:val="18"/>
          <w:szCs w:val="18"/>
        </w:rPr>
      </w:pPr>
      <w:r>
        <w:rPr>
          <w:rFonts w:hint="eastAsia" w:ascii="宋体" w:hAnsi="宋体" w:cs="宋体"/>
          <w:sz w:val="18"/>
          <w:szCs w:val="18"/>
        </w:rPr>
        <w:t>2.能源合计＝∑能源品种×折标准煤系数（求和时不要重复计算其中项</w:t>
      </w:r>
      <w:r>
        <w:rPr>
          <w:rFonts w:hint="eastAsia" w:ascii="宋体" w:hAnsi="宋体" w:cs="宋体"/>
          <w:kern w:val="0"/>
          <w:sz w:val="18"/>
          <w:szCs w:val="18"/>
        </w:rPr>
        <w:t>）</w:t>
      </w:r>
      <w:r>
        <w:rPr>
          <w:rFonts w:hint="eastAsia" w:ascii="宋体" w:hAnsi="宋体" w:cs="宋体"/>
          <w:sz w:val="18"/>
          <w:szCs w:val="18"/>
        </w:rPr>
        <w:t>。</w:t>
      </w:r>
    </w:p>
    <w:p>
      <w:pPr>
        <w:spacing w:line="280" w:lineRule="exact"/>
        <w:ind w:firstLine="360" w:firstLineChars="200"/>
        <w:rPr>
          <w:rFonts w:ascii="宋体" w:hAnsi="宋体" w:cs="宋体"/>
          <w:sz w:val="18"/>
          <w:szCs w:val="18"/>
        </w:rPr>
      </w:pPr>
      <w:r>
        <w:rPr>
          <w:rFonts w:hint="eastAsia" w:ascii="宋体" w:hAnsi="宋体" w:cs="宋体"/>
          <w:sz w:val="18"/>
          <w:szCs w:val="18"/>
        </w:rPr>
        <w:t>3.其他燃料是指代码01-38以外未列出的作为燃料使用的物质，按其发热量折算成</w:t>
      </w:r>
      <w:r>
        <w:rPr>
          <w:rFonts w:hint="eastAsia" w:ascii="宋体" w:hAnsi="宋体" w:cs="宋体"/>
          <w:sz w:val="18"/>
          <w:szCs w:val="18"/>
        </w:rPr>
        <w:t>吨</w:t>
      </w:r>
      <w:r>
        <w:rPr>
          <w:rFonts w:hint="eastAsia" w:ascii="宋体" w:hAnsi="宋体" w:cs="宋体"/>
          <w:sz w:val="18"/>
          <w:szCs w:val="18"/>
        </w:rPr>
        <w:t>标准煤统计。</w:t>
      </w:r>
    </w:p>
    <w:p>
      <w:pPr>
        <w:spacing w:line="280" w:lineRule="exact"/>
        <w:ind w:right="-38" w:firstLine="360" w:firstLineChars="200"/>
        <w:rPr>
          <w:rFonts w:ascii="宋体" w:hAnsi="宋体" w:cs="宋体"/>
          <w:sz w:val="18"/>
          <w:szCs w:val="18"/>
        </w:rPr>
      </w:pPr>
      <w:r>
        <w:rPr>
          <w:rFonts w:hint="eastAsia" w:ascii="宋体" w:hAnsi="宋体" w:cs="宋体"/>
          <w:bCs/>
          <w:sz w:val="18"/>
          <w:szCs w:val="18"/>
        </w:rPr>
        <w:t>4.几种产品的单位换算系数</w:t>
      </w:r>
      <w:r>
        <w:rPr>
          <w:rFonts w:hint="eastAsia" w:ascii="宋体" w:hAnsi="宋体" w:cs="宋体"/>
          <w:sz w:val="18"/>
          <w:szCs w:val="18"/>
        </w:rPr>
        <w:t>：</w:t>
      </w:r>
    </w:p>
    <w:p>
      <w:pPr>
        <w:spacing w:line="280" w:lineRule="exact"/>
        <w:ind w:right="-38" w:firstLine="360" w:firstLineChars="200"/>
        <w:rPr>
          <w:rFonts w:ascii="宋体" w:hAnsi="宋体" w:cs="宋体"/>
          <w:sz w:val="18"/>
          <w:szCs w:val="18"/>
        </w:rPr>
      </w:pPr>
      <w:r>
        <w:rPr>
          <w:rFonts w:hint="eastAsia" w:ascii="宋体" w:hAnsi="宋体" w:cs="宋体"/>
          <w:sz w:val="18"/>
          <w:szCs w:val="18"/>
        </w:rPr>
        <w:t>(1)1千克液化天然气=1.38立方米天然气；1立方米天然气=0.7256千克液化天然气</w:t>
      </w:r>
    </w:p>
    <w:p>
      <w:pPr>
        <w:spacing w:line="280" w:lineRule="exact"/>
        <w:ind w:right="-38" w:firstLine="360" w:firstLineChars="200"/>
        <w:rPr>
          <w:rFonts w:ascii="宋体" w:hAnsi="宋体" w:cs="宋体"/>
          <w:sz w:val="18"/>
          <w:szCs w:val="18"/>
        </w:rPr>
      </w:pPr>
      <w:r>
        <w:rPr>
          <w:rFonts w:ascii="宋体" w:hAnsi="宋体" w:cs="宋体"/>
          <w:sz w:val="18"/>
          <w:szCs w:val="18"/>
        </w:rPr>
        <w:t>(2)</w:t>
      </w:r>
      <w:r>
        <w:rPr>
          <w:rFonts w:hint="eastAsia" w:ascii="宋体" w:hAnsi="宋体" w:cs="宋体"/>
          <w:sz w:val="18"/>
          <w:szCs w:val="18"/>
        </w:rPr>
        <w:t>氢气，1立方米=0.0899千克，1千克=1</w:t>
      </w:r>
      <w:r>
        <w:rPr>
          <w:rFonts w:ascii="宋体" w:hAnsi="宋体" w:cs="宋体"/>
          <w:sz w:val="18"/>
          <w:szCs w:val="18"/>
        </w:rPr>
        <w:t>1.1235</w:t>
      </w:r>
      <w:r>
        <w:rPr>
          <w:rFonts w:hint="eastAsia" w:ascii="宋体" w:hAnsi="宋体" w:cs="宋体"/>
          <w:sz w:val="18"/>
          <w:szCs w:val="18"/>
        </w:rPr>
        <w:t>立方米</w:t>
      </w:r>
    </w:p>
    <w:p>
      <w:pPr>
        <w:spacing w:line="280" w:lineRule="exact"/>
        <w:ind w:right="-38" w:firstLine="360" w:firstLineChars="200"/>
        <w:rPr>
          <w:rFonts w:ascii="宋体" w:hAnsi="宋体" w:cs="宋体"/>
          <w:sz w:val="18"/>
          <w:szCs w:val="18"/>
        </w:rPr>
      </w:pPr>
      <w:r>
        <w:rPr>
          <w:rFonts w:ascii="宋体" w:hAnsi="宋体" w:cs="宋体"/>
          <w:sz w:val="18"/>
          <w:szCs w:val="18"/>
        </w:rPr>
        <w:t>(</w:t>
      </w:r>
      <w:r>
        <w:rPr>
          <w:rFonts w:ascii="宋体" w:hAnsi="宋体" w:cs="宋体"/>
          <w:sz w:val="18"/>
          <w:szCs w:val="18"/>
        </w:rPr>
        <w:t>3</w:t>
      </w:r>
      <w:r>
        <w:rPr>
          <w:rFonts w:hint="eastAsia" w:ascii="宋体" w:hAnsi="宋体" w:cs="宋体"/>
          <w:sz w:val="18"/>
          <w:szCs w:val="18"/>
        </w:rPr>
        <w:t>)汽油，1升=0.73千克，1千克=1.3699升</w:t>
      </w:r>
    </w:p>
    <w:p>
      <w:pPr>
        <w:spacing w:line="280" w:lineRule="exact"/>
        <w:ind w:right="-38" w:firstLine="360" w:firstLineChars="200"/>
        <w:rPr>
          <w:rFonts w:ascii="宋体" w:hAnsi="宋体" w:cs="宋体"/>
          <w:sz w:val="18"/>
          <w:szCs w:val="18"/>
        </w:rPr>
      </w:pPr>
      <w:r>
        <w:rPr>
          <w:rFonts w:ascii="宋体" w:hAnsi="宋体" w:cs="宋体"/>
          <w:sz w:val="18"/>
          <w:szCs w:val="18"/>
        </w:rPr>
        <w:t>(</w:t>
      </w:r>
      <w:r>
        <w:rPr>
          <w:rFonts w:ascii="宋体" w:hAnsi="宋体" w:cs="宋体"/>
          <w:sz w:val="18"/>
          <w:szCs w:val="18"/>
        </w:rPr>
        <w:t>4</w:t>
      </w:r>
      <w:r>
        <w:rPr>
          <w:rFonts w:hint="eastAsia" w:ascii="宋体" w:hAnsi="宋体" w:cs="宋体"/>
          <w:sz w:val="18"/>
          <w:szCs w:val="18"/>
        </w:rPr>
        <w:t>)重柴油，1升=0.92千克，1千克=1.0870升</w:t>
      </w:r>
    </w:p>
    <w:p>
      <w:pPr>
        <w:spacing w:line="280" w:lineRule="exact"/>
        <w:ind w:right="-38" w:firstLine="360" w:firstLineChars="200"/>
        <w:rPr>
          <w:rFonts w:ascii="宋体" w:hAnsi="宋体" w:cs="宋体"/>
          <w:sz w:val="18"/>
          <w:szCs w:val="18"/>
        </w:rPr>
      </w:pPr>
      <w:r>
        <w:rPr>
          <w:rFonts w:ascii="宋体" w:hAnsi="宋体" w:cs="宋体"/>
          <w:sz w:val="18"/>
          <w:szCs w:val="18"/>
        </w:rPr>
        <w:t>(</w:t>
      </w:r>
      <w:r>
        <w:rPr>
          <w:rFonts w:ascii="宋体" w:hAnsi="宋体" w:cs="宋体"/>
          <w:sz w:val="18"/>
          <w:szCs w:val="18"/>
        </w:rPr>
        <w:t>5</w:t>
      </w:r>
      <w:r>
        <w:rPr>
          <w:rFonts w:hint="eastAsia" w:ascii="宋体" w:hAnsi="宋体" w:cs="宋体"/>
          <w:sz w:val="18"/>
          <w:szCs w:val="18"/>
        </w:rPr>
        <w:t>)轻柴油，1升=0.86千克，1千克=1.1628升</w:t>
      </w:r>
    </w:p>
    <w:p>
      <w:pPr>
        <w:spacing w:line="280" w:lineRule="exact"/>
        <w:ind w:right="-38" w:firstLine="360" w:firstLineChars="200"/>
        <w:rPr>
          <w:rFonts w:ascii="宋体" w:hAnsi="宋体" w:cs="宋体"/>
          <w:sz w:val="18"/>
          <w:szCs w:val="18"/>
        </w:rPr>
      </w:pPr>
      <w:r>
        <w:rPr>
          <w:rFonts w:ascii="宋体" w:hAnsi="宋体" w:cs="宋体"/>
          <w:sz w:val="18"/>
          <w:szCs w:val="18"/>
        </w:rPr>
        <w:t>(</w:t>
      </w:r>
      <w:r>
        <w:rPr>
          <w:rFonts w:ascii="宋体" w:hAnsi="宋体" w:cs="宋体"/>
          <w:sz w:val="18"/>
          <w:szCs w:val="18"/>
        </w:rPr>
        <w:t>6</w:t>
      </w:r>
      <w:r>
        <w:rPr>
          <w:rFonts w:hint="eastAsia" w:ascii="宋体" w:hAnsi="宋体" w:cs="宋体"/>
          <w:sz w:val="18"/>
          <w:szCs w:val="18"/>
        </w:rPr>
        <w:t>)煤油，1升=0.82千克，1千克=1.2195升</w:t>
      </w:r>
    </w:p>
    <w:p>
      <w:pPr>
        <w:spacing w:line="280" w:lineRule="exact"/>
        <w:ind w:right="-38" w:firstLine="360" w:firstLineChars="200"/>
        <w:rPr>
          <w:rFonts w:ascii="宋体" w:hAnsi="宋体" w:cs="宋体"/>
          <w:sz w:val="18"/>
          <w:szCs w:val="18"/>
        </w:rPr>
      </w:pPr>
      <w:r>
        <w:rPr>
          <w:rFonts w:ascii="宋体" w:hAnsi="宋体" w:cs="宋体"/>
          <w:sz w:val="18"/>
          <w:szCs w:val="18"/>
        </w:rPr>
        <w:t>(</w:t>
      </w:r>
      <w:r>
        <w:rPr>
          <w:rFonts w:ascii="宋体" w:hAnsi="宋体" w:cs="宋体"/>
          <w:sz w:val="18"/>
          <w:szCs w:val="18"/>
        </w:rPr>
        <w:t>7</w:t>
      </w:r>
      <w:r>
        <w:rPr>
          <w:rFonts w:hint="eastAsia" w:ascii="宋体" w:hAnsi="宋体" w:cs="宋体"/>
          <w:sz w:val="18"/>
          <w:szCs w:val="18"/>
        </w:rPr>
        <w:t>)燃料油，1升=0.91千克，1千克=1.0990升</w:t>
      </w:r>
    </w:p>
    <w:p>
      <w:pPr>
        <w:spacing w:line="280" w:lineRule="exact"/>
        <w:ind w:right="-38" w:firstLine="360" w:firstLineChars="200"/>
        <w:rPr>
          <w:sz w:val="18"/>
          <w:szCs w:val="18"/>
        </w:rPr>
      </w:pPr>
      <w:r>
        <w:rPr>
          <w:rFonts w:ascii="宋体" w:hAnsi="宋体" w:cs="宋体"/>
          <w:bCs/>
          <w:sz w:val="18"/>
          <w:szCs w:val="18"/>
        </w:rPr>
        <w:t>5.</w:t>
      </w:r>
      <w:r>
        <w:rPr>
          <w:bCs/>
          <w:sz w:val="18"/>
          <w:szCs w:val="18"/>
        </w:rPr>
        <w:t>几种产品加工转换计算的规定</w:t>
      </w:r>
      <w:r>
        <w:rPr>
          <w:sz w:val="18"/>
          <w:szCs w:val="18"/>
        </w:rPr>
        <w:t>：</w:t>
      </w:r>
    </w:p>
    <w:p>
      <w:pPr>
        <w:spacing w:line="280" w:lineRule="exact"/>
        <w:ind w:right="-38" w:firstLine="360" w:firstLineChars="200"/>
        <w:rPr>
          <w:rFonts w:ascii="宋体" w:hAnsi="宋体" w:cs="宋体"/>
          <w:sz w:val="18"/>
          <w:szCs w:val="18"/>
        </w:rPr>
      </w:pPr>
      <w:r>
        <w:rPr>
          <w:rFonts w:hint="eastAsia" w:ascii="宋体" w:hAnsi="宋体" w:cs="宋体"/>
          <w:sz w:val="18"/>
          <w:szCs w:val="18"/>
        </w:rPr>
        <w:t>(1)天然气：企业购入天然气，添加一些其他成分后，又以天然气为产品进行销售，这种情况下不作加工转换计算，天然气消费量只计算加工过程中的损失部分（如果没有损失，则消费量为“0”</w:t>
      </w:r>
      <w:r>
        <w:rPr>
          <w:rFonts w:hint="eastAsia" w:ascii="宋体" w:hAnsi="宋体" w:cs="宋体"/>
          <w:kern w:val="0"/>
          <w:sz w:val="18"/>
          <w:szCs w:val="18"/>
        </w:rPr>
        <w:t xml:space="preserve"> ）</w:t>
      </w:r>
      <w:r>
        <w:rPr>
          <w:rFonts w:hint="eastAsia" w:ascii="宋体" w:hAnsi="宋体" w:cs="宋体"/>
          <w:sz w:val="18"/>
          <w:szCs w:val="18"/>
        </w:rPr>
        <w:t>。</w:t>
      </w:r>
    </w:p>
    <w:p>
      <w:pPr>
        <w:spacing w:line="280" w:lineRule="exact"/>
        <w:ind w:right="-38" w:firstLine="360" w:firstLineChars="200"/>
        <w:rPr>
          <w:sz w:val="18"/>
          <w:szCs w:val="18"/>
        </w:rPr>
      </w:pPr>
      <w:r>
        <w:rPr>
          <w:rFonts w:ascii="宋体" w:hAnsi="宋体" w:cs="宋体"/>
          <w:sz w:val="18"/>
          <w:szCs w:val="18"/>
        </w:rPr>
        <w:t>(2)</w:t>
      </w:r>
      <w:r>
        <w:rPr>
          <w:sz w:val="18"/>
          <w:szCs w:val="18"/>
        </w:rPr>
        <w:t>成品油：企业购入某种成品油，添加一些其他成分后，又以这种成品油为产品进行销售</w:t>
      </w:r>
      <w:r>
        <w:rPr>
          <w:rFonts w:hint="eastAsia"/>
          <w:sz w:val="18"/>
          <w:szCs w:val="18"/>
        </w:rPr>
        <w:t>（</w:t>
      </w:r>
      <w:r>
        <w:rPr>
          <w:sz w:val="18"/>
          <w:szCs w:val="18"/>
        </w:rPr>
        <w:t>购入和销售的产品在统计上为同名称的产品</w:t>
      </w:r>
      <w:r>
        <w:rPr>
          <w:kern w:val="0"/>
          <w:sz w:val="18"/>
          <w:szCs w:val="18"/>
        </w:rPr>
        <w:t>）</w:t>
      </w:r>
      <w:r>
        <w:rPr>
          <w:sz w:val="18"/>
          <w:szCs w:val="18"/>
        </w:rPr>
        <w:t>，这种情况下不作加工转换计算，其消费量只计算加工过程中的损失部分</w:t>
      </w:r>
      <w:r>
        <w:rPr>
          <w:rFonts w:hint="eastAsia"/>
          <w:sz w:val="18"/>
          <w:szCs w:val="18"/>
        </w:rPr>
        <w:t>（</w:t>
      </w:r>
      <w:r>
        <w:rPr>
          <w:sz w:val="18"/>
          <w:szCs w:val="18"/>
        </w:rPr>
        <w:t>如果没有损失，则消费量为</w:t>
      </w:r>
      <w:r>
        <w:rPr>
          <w:rFonts w:ascii="宋体" w:hAnsi="宋体" w:cs="宋体"/>
          <w:sz w:val="18"/>
          <w:szCs w:val="18"/>
        </w:rPr>
        <w:t>“0”</w:t>
      </w:r>
      <w:r>
        <w:rPr>
          <w:bCs/>
          <w:sz w:val="18"/>
          <w:szCs w:val="18"/>
        </w:rPr>
        <w:t xml:space="preserve"> ）</w:t>
      </w:r>
      <w:r>
        <w:rPr>
          <w:sz w:val="18"/>
          <w:szCs w:val="18"/>
        </w:rPr>
        <w:t>。但是企业购入某种成品油，经过某种生产工艺加工成另外一种产品，比如将重油加工成汽油、煤油等轻质油或其他石油制品，这种情况应视作加工转换，并按照能源加工转换的统计规定，填报相应产品的投入量和产出量。</w:t>
      </w:r>
    </w:p>
    <w:p>
      <w:pPr>
        <w:spacing w:line="280" w:lineRule="exact"/>
        <w:ind w:right="-38" w:firstLine="360" w:firstLineChars="200"/>
        <w:rPr>
          <w:rFonts w:ascii="宋体" w:hAnsi="宋体" w:cs="宋体"/>
          <w:sz w:val="18"/>
          <w:szCs w:val="18"/>
        </w:rPr>
      </w:pPr>
      <w:r>
        <w:rPr>
          <w:rFonts w:hint="eastAsia" w:ascii="宋体" w:hAnsi="宋体" w:cs="宋体"/>
          <w:sz w:val="18"/>
          <w:szCs w:val="18"/>
        </w:rPr>
        <w:t>(3)蓄能发电：企业用电力进行抽水蓄能，再用蓄水发电，这种情况不应视作能源加工转换。企业电力消费只填报抽水用电和蓄水发电的差额部分以及与抽水蓄能发电没有直接关系的企业其他用电。</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6.主要指标解释：</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其他焦化产品：指在炼焦过程中，除焦炭、焦炉煤气以外产生的其他副产品，如煤焦油、粗苯等。炼焦的产品很多，目录中只列出了焦炭、焦炉煤气这两个品种，统计时为了简化，把除这两个品种以外的其他炼焦副产品归并在“其他焦化产品”一个目录下一起填报。</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高炉煤气：指炼铁过程中从高炉炉顶逸出的可燃性气体，是炼铁过程的副产品；其理论燃烧温度约为1400—1500℃，含有大量粉尘（约60—80克／立方米），所以需要除尘处理，并在可能的情况下将其和空气预热以提高燃烧温度。据统计，高炉每消耗1吨焦炭约可产出3800—4000立方米高炉煤气（约有60％的燃料转变为高炉煤气）。在冶金联合企业，它主要用于焦炉，以及与焦炉煤气混合用作发电或其他燃料。</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转炉煤气：指转炉炼钢过程中，铁水中的碳在高温下和吹入的氧生成一氧化碳和少量二氧化碳的混合气体。</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其他煤气：指焦炉煤气、高炉煤气、转炉煤气之外的可燃煤气，如：发生炉煤气、电石炉煤气等。</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热力：指可提供热源的热水、蒸汽。</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热力的计算：蒸汽和热水的热力计算，与锅炉出口蒸汽、热水的温度和压力有关，计算方法：</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第一步：确定锅炉出口蒸汽和热水的温度和压力，根据温度和压力值，在焓熵图</w:t>
      </w:r>
      <w:bookmarkStart w:id="1" w:name="OLE_LINK2"/>
      <w:bookmarkStart w:id="2" w:name="OLE_LINK4"/>
      <w:r>
        <w:rPr>
          <w:rFonts w:hint="eastAsia" w:ascii="宋体" w:hAnsi="宋体" w:cs="宋体"/>
          <w:sz w:val="18"/>
          <w:szCs w:val="18"/>
        </w:rPr>
        <w:t>（</w:t>
      </w:r>
      <w:bookmarkEnd w:id="1"/>
      <w:bookmarkEnd w:id="2"/>
      <w:r>
        <w:rPr>
          <w:rFonts w:hint="eastAsia" w:ascii="宋体" w:hAnsi="宋体" w:cs="宋体"/>
          <w:bCs/>
          <w:sz w:val="18"/>
          <w:szCs w:val="18"/>
        </w:rPr>
        <w:t>表</w:t>
      </w:r>
      <w:r>
        <w:rPr>
          <w:rFonts w:hint="eastAsia" w:ascii="宋体" w:hAnsi="宋体" w:cs="宋体"/>
          <w:kern w:val="0"/>
          <w:sz w:val="18"/>
          <w:szCs w:val="18"/>
        </w:rPr>
        <w:t>）</w:t>
      </w:r>
      <w:r>
        <w:rPr>
          <w:rFonts w:hint="eastAsia" w:ascii="宋体" w:hAnsi="宋体" w:cs="宋体"/>
          <w:bCs/>
          <w:sz w:val="18"/>
          <w:szCs w:val="18"/>
        </w:rPr>
        <w:t>查出对应的每千克蒸汽、热水的热焓；</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第二步：确定锅炉给水</w:t>
      </w:r>
      <w:r>
        <w:rPr>
          <w:rFonts w:hint="eastAsia" w:ascii="宋体" w:hAnsi="宋体" w:cs="宋体"/>
          <w:sz w:val="18"/>
          <w:szCs w:val="18"/>
        </w:rPr>
        <w:t>（</w:t>
      </w:r>
      <w:r>
        <w:rPr>
          <w:rFonts w:hint="eastAsia" w:ascii="宋体" w:hAnsi="宋体" w:cs="宋体"/>
          <w:bCs/>
          <w:sz w:val="18"/>
          <w:szCs w:val="18"/>
        </w:rPr>
        <w:t>或回水</w:t>
      </w:r>
      <w:r>
        <w:rPr>
          <w:rFonts w:hint="eastAsia" w:ascii="宋体" w:hAnsi="宋体" w:cs="宋体"/>
          <w:kern w:val="0"/>
          <w:sz w:val="18"/>
          <w:szCs w:val="18"/>
        </w:rPr>
        <w:t>）</w:t>
      </w:r>
      <w:r>
        <w:rPr>
          <w:rFonts w:hint="eastAsia" w:ascii="宋体" w:hAnsi="宋体" w:cs="宋体"/>
          <w:bCs/>
          <w:sz w:val="18"/>
          <w:szCs w:val="18"/>
        </w:rPr>
        <w:t>的温度和压力，根据温度和压力值，在焓熵图</w:t>
      </w:r>
      <w:r>
        <w:rPr>
          <w:rFonts w:hint="eastAsia" w:ascii="宋体" w:hAnsi="宋体" w:cs="宋体"/>
          <w:sz w:val="18"/>
          <w:szCs w:val="18"/>
        </w:rPr>
        <w:t>（</w:t>
      </w:r>
      <w:r>
        <w:rPr>
          <w:rFonts w:hint="eastAsia" w:ascii="宋体" w:hAnsi="宋体" w:cs="宋体"/>
          <w:bCs/>
          <w:sz w:val="18"/>
          <w:szCs w:val="18"/>
        </w:rPr>
        <w:t>表</w:t>
      </w:r>
      <w:r>
        <w:rPr>
          <w:rFonts w:hint="eastAsia" w:ascii="宋体" w:hAnsi="宋体" w:cs="宋体"/>
          <w:kern w:val="0"/>
          <w:sz w:val="18"/>
          <w:szCs w:val="18"/>
        </w:rPr>
        <w:t>）</w:t>
      </w:r>
      <w:r>
        <w:rPr>
          <w:rFonts w:hint="eastAsia" w:ascii="宋体" w:hAnsi="宋体" w:cs="宋体"/>
          <w:bCs/>
          <w:sz w:val="18"/>
          <w:szCs w:val="18"/>
        </w:rPr>
        <w:t>查出对应的每千克给水</w:t>
      </w:r>
      <w:r>
        <w:rPr>
          <w:rFonts w:hint="eastAsia" w:ascii="宋体" w:hAnsi="宋体" w:cs="宋体"/>
          <w:sz w:val="18"/>
          <w:szCs w:val="18"/>
        </w:rPr>
        <w:t>（</w:t>
      </w:r>
      <w:r>
        <w:rPr>
          <w:rFonts w:hint="eastAsia" w:ascii="宋体" w:hAnsi="宋体" w:cs="宋体"/>
          <w:bCs/>
          <w:sz w:val="18"/>
          <w:szCs w:val="18"/>
        </w:rPr>
        <w:t>或回水</w:t>
      </w:r>
      <w:r>
        <w:rPr>
          <w:rFonts w:hint="eastAsia" w:ascii="宋体" w:hAnsi="宋体" w:cs="宋体"/>
          <w:kern w:val="0"/>
          <w:sz w:val="18"/>
          <w:szCs w:val="18"/>
        </w:rPr>
        <w:t>）</w:t>
      </w:r>
      <w:r>
        <w:rPr>
          <w:rFonts w:hint="eastAsia" w:ascii="宋体" w:hAnsi="宋体" w:cs="宋体"/>
          <w:bCs/>
          <w:sz w:val="18"/>
          <w:szCs w:val="18"/>
        </w:rPr>
        <w:t>的热焓；</w:t>
      </w:r>
    </w:p>
    <w:p>
      <w:pPr>
        <w:spacing w:line="280" w:lineRule="exact"/>
        <w:ind w:right="-38" w:firstLine="360" w:firstLineChars="200"/>
        <w:rPr>
          <w:rFonts w:ascii="宋体" w:hAnsi="宋体" w:cs="宋体"/>
          <w:bCs/>
          <w:kern w:val="0"/>
          <w:sz w:val="18"/>
          <w:szCs w:val="18"/>
        </w:rPr>
      </w:pPr>
      <w:r>
        <w:rPr>
          <w:rFonts w:hint="eastAsia" w:ascii="宋体" w:hAnsi="宋体" w:cs="宋体"/>
          <w:bCs/>
          <w:kern w:val="0"/>
          <w:sz w:val="18"/>
          <w:szCs w:val="18"/>
        </w:rPr>
        <w:t>第三步：求第一步和第二步查出的热焓之差，再乘以蒸汽或热水的数量</w:t>
      </w:r>
      <w:r>
        <w:rPr>
          <w:rFonts w:hint="eastAsia" w:ascii="宋体" w:hAnsi="宋体" w:cs="宋体"/>
          <w:kern w:val="0"/>
          <w:sz w:val="18"/>
          <w:szCs w:val="18"/>
        </w:rPr>
        <w:t>（</w:t>
      </w:r>
      <w:r>
        <w:rPr>
          <w:rFonts w:hint="eastAsia" w:ascii="宋体" w:hAnsi="宋体" w:cs="宋体"/>
          <w:bCs/>
          <w:kern w:val="0"/>
          <w:sz w:val="18"/>
          <w:szCs w:val="18"/>
        </w:rPr>
        <w:t>按流量表读数计算</w:t>
      </w:r>
      <w:r>
        <w:rPr>
          <w:rFonts w:hint="eastAsia" w:ascii="宋体" w:hAnsi="宋体" w:cs="宋体"/>
          <w:kern w:val="0"/>
          <w:sz w:val="18"/>
          <w:szCs w:val="18"/>
        </w:rPr>
        <w:t>）</w:t>
      </w:r>
      <w:r>
        <w:rPr>
          <w:rFonts w:hint="eastAsia" w:ascii="宋体" w:hAnsi="宋体" w:cs="宋体"/>
          <w:bCs/>
          <w:kern w:val="0"/>
          <w:sz w:val="18"/>
          <w:szCs w:val="18"/>
        </w:rPr>
        <w:t>，所得值即为热力的量。</w:t>
      </w:r>
    </w:p>
    <w:p>
      <w:pPr>
        <w:spacing w:line="280" w:lineRule="exact"/>
        <w:ind w:right="-38"/>
        <w:rPr>
          <w:rFonts w:ascii="宋体" w:hAnsi="宋体" w:cs="宋体"/>
          <w:bCs/>
          <w:sz w:val="18"/>
          <w:szCs w:val="18"/>
        </w:rPr>
      </w:pPr>
      <w:r>
        <w:rPr>
          <w:rFonts w:hint="eastAsia" w:ascii="宋体" w:hAnsi="宋体" w:cs="宋体"/>
          <w:bCs/>
          <w:sz w:val="18"/>
          <w:szCs w:val="18"/>
        </w:rPr>
        <w:t>如果企业不具备上述计算热力的条件，可参考下列方法估算：</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第一步：确定锅炉蒸汽或热水的产量。产量＝锅炉的给水量－排污等损失量；</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第二步：确定蒸汽或热水的热焓。热焓的确定分以下几种情况：</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(1)热水：假定出口温度为90℃，回水温度为20℃的情况下,闭路循环系统每千克热水的热焓按20千卡计算,开路供热系统每千克热水的热焓按70千卡计算。</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(2)饱和蒸汽：</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压力1-2.5千克/平方厘米，温度127℃以下，每千克蒸汽的热焓按620千卡计算；</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压力3-7千克/平方厘米，温度135-165℃，每千克蒸汽的热焓按630千卡计算；</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压力8千克/平方厘米，温度170℃以上，每千克蒸汽的热焓按640千卡计算。</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(3)过热蒸汽：压力150千克/平方厘米</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200℃以下，每千克蒸汽的热焓按650千卡计算；</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220-260℃，每千克蒸汽的热焓按680千卡计算；</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280-320℃，每千克蒸汽的热焓按700千卡计算；</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350-500℃，每千克蒸汽的热焓按750千卡计算。</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第三步：根据确定的热焓，乘以产量，所得值即为热力的量。</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对于中小企业，若以上条件均不具备，如果锅炉的功率在0.7兆瓦左右，1吨/小时的热水或蒸汽按相当于60万千卡的热力计算。</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 xml:space="preserve">余热余压：指企业生产过程中释放出来多余的副产热能、压差能，这些副产热能、压差能在一定的经济技术条件下可以回收利用。余热余压回收利用主要来自高温气体、液体、固体的热能和化学反应产生的热能。  </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对回收利用的余热余压，企业有计量装置并可计量其数量的，205-2表填报回收利用量，205-1表填报消费量（本企业自用的部分），如果用于加工转换，还要在205-2表填报加工转换的投入量和其他产品的产出量。假如A企业回收的余热余压外供给B企业，A企业填报回收利用量，B企业填报购入量和消费量，不得填报回收利用量。</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煤矸石（用于燃料）：煤矸石是采煤过程和洗煤过程中排放的固体废物，是一种在成煤过程中与煤层伴生的一种含碳量较低、比煤坚硬的黑灰色岩石，是可用做工业企业能源消费的燃料。</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城市生活垃圾（用于燃料）：城市生活垃圾是指城市中的单位和居民在日常生活及生活服务中产生的废弃物，是可用做工业企业能源消费的燃料。</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工业废料（用于燃料）：工业废料是工业生产过程中产生出来的废品（如工业废渣、工业废气等），是可用做工业企业能源消费的燃料。</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生物燃料：泛指由生物质组成或萃取的固体、液体或气体燃料，如沼气、薪柴、秸秆、生物乙醇、生物柴油等。</w:t>
      </w:r>
    </w:p>
    <w:p>
      <w:pPr>
        <w:spacing w:line="280" w:lineRule="exact"/>
        <w:ind w:right="-38" w:firstLine="360" w:firstLineChars="200"/>
        <w:rPr>
          <w:rFonts w:ascii="宋体" w:hAnsi="宋体" w:cs="宋体"/>
          <w:bCs/>
          <w:sz w:val="18"/>
          <w:szCs w:val="18"/>
        </w:rPr>
      </w:pPr>
      <w:r>
        <w:rPr>
          <w:rFonts w:hint="eastAsia" w:ascii="宋体" w:hAnsi="宋体" w:cs="宋体"/>
          <w:bCs/>
          <w:sz w:val="18"/>
          <w:szCs w:val="18"/>
        </w:rPr>
        <w:t>其他燃料：指除</w:t>
      </w:r>
      <w:r>
        <w:rPr>
          <w:rFonts w:hint="eastAsia" w:ascii="宋体" w:hAnsi="宋体" w:cs="宋体"/>
          <w:bCs/>
          <w:sz w:val="18"/>
          <w:szCs w:val="18"/>
        </w:rPr>
        <w:t>目录中列示的</w:t>
      </w:r>
      <w:r>
        <w:rPr>
          <w:rFonts w:hint="eastAsia" w:ascii="宋体" w:hAnsi="宋体" w:cs="宋体"/>
          <w:bCs/>
          <w:sz w:val="18"/>
          <w:szCs w:val="18"/>
        </w:rPr>
        <w:t>能源消费品种以外的用于工业企业能源消费的燃料。</w:t>
      </w:r>
    </w:p>
    <w:p>
      <w:pPr>
        <w:spacing w:line="280" w:lineRule="exact"/>
        <w:ind w:right="-38" w:firstLine="420"/>
        <w:rPr>
          <w:bCs/>
          <w:sz w:val="18"/>
          <w:szCs w:val="18"/>
        </w:rPr>
      </w:pPr>
    </w:p>
    <w:p>
      <w:pPr>
        <w:spacing w:line="280" w:lineRule="exact"/>
        <w:ind w:right="-38"/>
        <w:rPr>
          <w:bCs/>
          <w:sz w:val="18"/>
          <w:szCs w:val="18"/>
        </w:rPr>
        <w:sectPr>
          <w:pgSz w:w="11906" w:h="16838"/>
          <w:pgMar w:top="1418" w:right="1247" w:bottom="1247" w:left="1247" w:header="851" w:footer="992" w:gutter="0"/>
          <w:pgNumType w:fmt="numberInDash"/>
          <w:cols w:space="720" w:num="1"/>
          <w:docGrid w:linePitch="286" w:charSpace="0"/>
        </w:sectPr>
      </w:pPr>
    </w:p>
    <w:p>
      <w:pPr>
        <w:snapToGrid w:val="0"/>
        <w:spacing w:beforeLines="100" w:afterLines="100"/>
        <w:jc w:val="center"/>
        <w:outlineLvl w:val="1"/>
        <w:rPr>
          <w:rFonts w:eastAsia="黑体"/>
          <w:sz w:val="28"/>
          <w:szCs w:val="28"/>
        </w:rPr>
      </w:pPr>
      <w:r>
        <w:rPr>
          <w:rFonts w:eastAsia="黑体"/>
          <w:sz w:val="28"/>
          <w:szCs w:val="28"/>
        </w:rPr>
        <w:t>（二）主要耗能工业企业单位产品能源消</w:t>
      </w:r>
      <w:r>
        <w:rPr>
          <w:rFonts w:hint="eastAsia" w:eastAsia="黑体"/>
          <w:sz w:val="28"/>
          <w:szCs w:val="28"/>
        </w:rPr>
        <w:t>费</w:t>
      </w:r>
      <w:r>
        <w:rPr>
          <w:rFonts w:eastAsia="黑体"/>
          <w:sz w:val="28"/>
          <w:szCs w:val="28"/>
        </w:rPr>
        <w:t>情况目录（205-3表）</w:t>
      </w:r>
    </w:p>
    <w:tbl>
      <w:tblPr>
        <w:tblStyle w:val="25"/>
        <w:tblW w:w="9465" w:type="dxa"/>
        <w:tblInd w:w="0" w:type="dxa"/>
        <w:tblLayout w:type="fixed"/>
        <w:tblCellMar>
          <w:top w:w="0" w:type="dxa"/>
          <w:left w:w="0" w:type="dxa"/>
          <w:bottom w:w="0" w:type="dxa"/>
          <w:right w:w="0" w:type="dxa"/>
        </w:tblCellMar>
      </w:tblPr>
      <w:tblGrid>
        <w:gridCol w:w="559"/>
        <w:gridCol w:w="2268"/>
        <w:gridCol w:w="1283"/>
        <w:gridCol w:w="525"/>
        <w:gridCol w:w="521"/>
        <w:gridCol w:w="1914"/>
        <w:gridCol w:w="1680"/>
        <w:gridCol w:w="715"/>
      </w:tblGrid>
      <w:tr>
        <w:tblPrEx>
          <w:tblLayout w:type="fixed"/>
          <w:tblCellMar>
            <w:top w:w="0" w:type="dxa"/>
            <w:left w:w="0" w:type="dxa"/>
            <w:bottom w:w="0" w:type="dxa"/>
            <w:right w:w="0" w:type="dxa"/>
          </w:tblCellMar>
        </w:tblPrEx>
        <w:trPr>
          <w:trHeight w:val="285" w:hRule="atLeast"/>
        </w:trPr>
        <w:tc>
          <w:tcPr>
            <w:tcW w:w="559" w:type="dxa"/>
            <w:vMerge w:val="restart"/>
            <w:tcBorders>
              <w:top w:val="single" w:color="auto" w:sz="8"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sz w:val="18"/>
                <w:szCs w:val="18"/>
              </w:rPr>
            </w:pPr>
            <w:r>
              <w:rPr>
                <w:sz w:val="18"/>
                <w:szCs w:val="18"/>
              </w:rPr>
              <w:t>代码</w:t>
            </w:r>
          </w:p>
        </w:tc>
        <w:tc>
          <w:tcPr>
            <w:tcW w:w="2268" w:type="dxa"/>
            <w:vMerge w:val="restart"/>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sz w:val="18"/>
                <w:szCs w:val="18"/>
              </w:rPr>
            </w:pPr>
            <w:r>
              <w:rPr>
                <w:sz w:val="18"/>
                <w:szCs w:val="18"/>
              </w:rPr>
              <w:t>指标名称</w:t>
            </w:r>
          </w:p>
        </w:tc>
        <w:tc>
          <w:tcPr>
            <w:tcW w:w="2329" w:type="dxa"/>
            <w:gridSpan w:val="3"/>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sz w:val="18"/>
                <w:szCs w:val="18"/>
              </w:rPr>
            </w:pPr>
            <w:r>
              <w:rPr>
                <w:sz w:val="18"/>
                <w:szCs w:val="18"/>
              </w:rPr>
              <w:t>计量单位</w:t>
            </w:r>
          </w:p>
        </w:tc>
        <w:tc>
          <w:tcPr>
            <w:tcW w:w="3594" w:type="dxa"/>
            <w:gridSpan w:val="2"/>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sz w:val="18"/>
                <w:szCs w:val="18"/>
              </w:rPr>
            </w:pPr>
            <w:r>
              <w:rPr>
                <w:sz w:val="18"/>
                <w:szCs w:val="18"/>
              </w:rPr>
              <w:t>计算根据</w:t>
            </w:r>
          </w:p>
        </w:tc>
        <w:tc>
          <w:tcPr>
            <w:tcW w:w="715" w:type="dxa"/>
            <w:vMerge w:val="restart"/>
            <w:tcBorders>
              <w:top w:val="single" w:color="auto" w:sz="8"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center"/>
              <w:rPr>
                <w:sz w:val="18"/>
                <w:szCs w:val="18"/>
              </w:rPr>
            </w:pPr>
            <w:r>
              <w:rPr>
                <w:sz w:val="18"/>
                <w:szCs w:val="18"/>
              </w:rPr>
              <w:t>单位换算系数</w:t>
            </w:r>
          </w:p>
        </w:tc>
      </w:tr>
      <w:tr>
        <w:tblPrEx>
          <w:tblLayout w:type="fixed"/>
          <w:tblCellMar>
            <w:top w:w="0" w:type="dxa"/>
            <w:left w:w="0" w:type="dxa"/>
            <w:bottom w:w="0" w:type="dxa"/>
            <w:right w:w="0" w:type="dxa"/>
          </w:tblCellMar>
        </w:tblPrEx>
        <w:trPr>
          <w:trHeight w:val="285" w:hRule="atLeast"/>
        </w:trPr>
        <w:tc>
          <w:tcPr>
            <w:tcW w:w="559" w:type="dxa"/>
            <w:vMerge w:val="continue"/>
            <w:tcBorders>
              <w:top w:val="single" w:color="auto" w:sz="2" w:space="0"/>
              <w:left w:val="nil"/>
              <w:bottom w:val="single" w:color="auto" w:sz="2" w:space="0"/>
              <w:right w:val="single" w:color="auto" w:sz="2" w:space="0"/>
            </w:tcBorders>
            <w:vAlign w:val="center"/>
          </w:tcPr>
          <w:p>
            <w:pPr>
              <w:spacing w:line="254" w:lineRule="exact"/>
              <w:rPr>
                <w:sz w:val="18"/>
                <w:szCs w:val="18"/>
              </w:rPr>
            </w:pPr>
          </w:p>
        </w:tc>
        <w:tc>
          <w:tcPr>
            <w:tcW w:w="2268" w:type="dxa"/>
            <w:vMerge w:val="continue"/>
            <w:tcBorders>
              <w:top w:val="single" w:color="auto" w:sz="2" w:space="0"/>
              <w:left w:val="single" w:color="auto" w:sz="2" w:space="0"/>
              <w:bottom w:val="single" w:color="auto" w:sz="2" w:space="0"/>
              <w:right w:val="single" w:color="auto" w:sz="2" w:space="0"/>
            </w:tcBorders>
            <w:vAlign w:val="center"/>
          </w:tcPr>
          <w:p>
            <w:pPr>
              <w:spacing w:line="254" w:lineRule="exact"/>
              <w:rPr>
                <w:sz w:val="18"/>
                <w:szCs w:val="18"/>
              </w:rPr>
            </w:pP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sz w:val="18"/>
                <w:szCs w:val="18"/>
              </w:rPr>
            </w:pPr>
            <w:r>
              <w:rPr>
                <w:sz w:val="18"/>
                <w:szCs w:val="18"/>
              </w:rPr>
              <w:t>指标</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sz w:val="18"/>
                <w:szCs w:val="18"/>
              </w:rPr>
            </w:pPr>
            <w:r>
              <w:rPr>
                <w:sz w:val="18"/>
                <w:szCs w:val="18"/>
              </w:rPr>
              <w:t>子项</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sz w:val="18"/>
                <w:szCs w:val="18"/>
              </w:rPr>
            </w:pPr>
            <w:r>
              <w:rPr>
                <w:sz w:val="18"/>
                <w:szCs w:val="18"/>
              </w:rPr>
              <w:t>母项</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sz w:val="18"/>
                <w:szCs w:val="18"/>
              </w:rPr>
            </w:pPr>
            <w:r>
              <w:rPr>
                <w:sz w:val="18"/>
                <w:szCs w:val="18"/>
              </w:rPr>
              <w:t>子项</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sz w:val="18"/>
                <w:szCs w:val="18"/>
              </w:rPr>
            </w:pPr>
            <w:r>
              <w:rPr>
                <w:sz w:val="18"/>
                <w:szCs w:val="18"/>
              </w:rPr>
              <w:t>母项</w:t>
            </w:r>
          </w:p>
        </w:tc>
        <w:tc>
          <w:tcPr>
            <w:tcW w:w="715" w:type="dxa"/>
            <w:vMerge w:val="continue"/>
            <w:tcBorders>
              <w:top w:val="single" w:color="auto" w:sz="2" w:space="0"/>
              <w:left w:val="single" w:color="auto" w:sz="2" w:space="0"/>
              <w:bottom w:val="single" w:color="auto" w:sz="2" w:space="0"/>
              <w:right w:val="nil"/>
            </w:tcBorders>
            <w:vAlign w:val="center"/>
          </w:tcPr>
          <w:p>
            <w:pPr>
              <w:spacing w:line="254" w:lineRule="exact"/>
              <w:rPr>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54" w:lineRule="exact"/>
              <w:jc w:val="left"/>
              <w:rPr>
                <w:b/>
                <w:bCs/>
                <w:sz w:val="18"/>
                <w:szCs w:val="18"/>
              </w:rPr>
            </w:pPr>
            <w:r>
              <w:rPr>
                <w:rFonts w:hint="eastAsia" w:ascii="宋体" w:hAnsi="宋体" w:cs="宋体"/>
                <w:b/>
                <w:bCs/>
                <w:sz w:val="18"/>
                <w:szCs w:val="18"/>
              </w:rPr>
              <w:t xml:space="preserve">煤炭(06) </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0610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吨原煤生产综合能耗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原煤生产综合能源消费量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原煤产量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0602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吨原煤生产耗电</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原煤生产用电量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原煤产量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0603</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洗煤电力单耗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洗煤生产过程用电量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入洗原煤量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54" w:lineRule="exact"/>
              <w:jc w:val="left"/>
              <w:rPr>
                <w:rFonts w:ascii="宋体" w:hAnsi="宋体" w:cs="宋体"/>
                <w:b/>
                <w:bCs/>
                <w:sz w:val="18"/>
                <w:szCs w:val="18"/>
              </w:rPr>
            </w:pPr>
            <w:r>
              <w:rPr>
                <w:rFonts w:hint="eastAsia" w:ascii="宋体" w:hAnsi="宋体" w:cs="宋体"/>
                <w:b/>
                <w:bCs/>
                <w:sz w:val="18"/>
                <w:szCs w:val="18"/>
              </w:rPr>
              <w:t>石油和天然气(07)</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0701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单位油气产量综合能耗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油气田生产综合能源消费量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油气当量产量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0702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单位油气产量耗电</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油气田生产用电量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油气当量产量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54" w:lineRule="exact"/>
              <w:jc w:val="left"/>
              <w:rPr>
                <w:rFonts w:ascii="宋体" w:hAnsi="宋体" w:cs="宋体"/>
                <w:b/>
                <w:bCs/>
                <w:sz w:val="18"/>
                <w:szCs w:val="18"/>
              </w:rPr>
            </w:pPr>
            <w:r>
              <w:rPr>
                <w:rFonts w:hint="eastAsia" w:ascii="宋体" w:hAnsi="宋体" w:cs="宋体"/>
                <w:b/>
                <w:bCs/>
                <w:sz w:val="18"/>
                <w:szCs w:val="18"/>
              </w:rPr>
              <w:t>黑色金属矿(08)</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0801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铁矿采矿工序单位能耗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铁矿采矿工序净耗能量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露天采剥(掘)总量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0802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铁矿选矿工序单位能耗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铁矿选矿工序净耗能量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处理原矿量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54" w:lineRule="exact"/>
              <w:jc w:val="left"/>
              <w:rPr>
                <w:rFonts w:ascii="宋体" w:hAnsi="宋体" w:cs="宋体"/>
                <w:b/>
                <w:bCs/>
                <w:sz w:val="18"/>
                <w:szCs w:val="18"/>
              </w:rPr>
            </w:pPr>
            <w:r>
              <w:rPr>
                <w:rFonts w:hint="eastAsia" w:ascii="宋体" w:hAnsi="宋体" w:cs="宋体"/>
                <w:b/>
                <w:bCs/>
                <w:sz w:val="18"/>
                <w:szCs w:val="18"/>
              </w:rPr>
              <w:t>化学纤维(28)</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2820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吨粘胶纤维综合能耗(短纤)</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粘胶短纤维产量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2801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吨粘胶纤维用电量(短纤)</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粘胶短纤维产量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2830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吨粘胶纤维综合能耗(长丝)</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粘胶纤维长丝产量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2803</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吨粘胶纤维用电量(长丝)</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粘胶纤维长丝产量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2840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吨锦纶综合能耗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锦纶纤维产量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2805</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吨锦纶用电量</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锦纶纤维产量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2850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吨涤纶综合能耗(短纤)</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涤纶纤维产量(短纤)</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2807</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吨涤纶用电量(短纤)</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涤纶纤维产量(短纤)</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2860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吨涤纶综合能耗(长丝)</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涤纶纤维产量(长丝)</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2809</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吨涤纶用电量(长丝)</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涤纶纤维产量(长丝)</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2870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吨腈纶综合能耗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腈纶纤维产量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2811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吨腈纶用电量</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腈纶纤维产量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2880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吨维纶综合能耗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维纶纤维产量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ascii="宋体" w:hAnsi="宋体" w:cs="宋体"/>
                <w:sz w:val="18"/>
                <w:szCs w:val="18"/>
              </w:rPr>
              <w:t>2813</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吨维纶用电量</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4" w:lineRule="exact"/>
              <w:rPr>
                <w:rFonts w:ascii="宋体" w:hAnsi="宋体" w:cs="宋体"/>
                <w:sz w:val="18"/>
                <w:szCs w:val="18"/>
              </w:rPr>
            </w:pPr>
            <w:r>
              <w:rPr>
                <w:rFonts w:hint="eastAsia" w:ascii="宋体" w:hAnsi="宋体" w:cs="宋体"/>
                <w:sz w:val="18"/>
                <w:szCs w:val="18"/>
              </w:rPr>
              <w:t>维纶纤维产量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4"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8" w:space="0"/>
              <w:left w:val="nil"/>
            </w:tcBorders>
            <w:tcMar>
              <w:top w:w="15" w:type="dxa"/>
              <w:left w:w="15" w:type="dxa"/>
              <w:bottom w:w="0" w:type="dxa"/>
              <w:right w:w="15" w:type="dxa"/>
            </w:tcMar>
            <w:vAlign w:val="center"/>
          </w:tcPr>
          <w:p>
            <w:pPr>
              <w:spacing w:line="260"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left w:val="nil"/>
              <w:bottom w:val="single" w:color="auto" w:sz="8" w:space="0"/>
            </w:tcBorders>
            <w:tcMar>
              <w:top w:w="15" w:type="dxa"/>
              <w:left w:w="15" w:type="dxa"/>
              <w:bottom w:w="0" w:type="dxa"/>
              <w:right w:w="15" w:type="dxa"/>
            </w:tcMar>
            <w:vAlign w:val="center"/>
          </w:tcPr>
          <w:p>
            <w:pPr>
              <w:spacing w:line="260"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559" w:type="dxa"/>
            <w:vMerge w:val="restart"/>
            <w:tcBorders>
              <w:top w:val="single" w:color="auto" w:sz="8"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代码</w:t>
            </w:r>
          </w:p>
        </w:tc>
        <w:tc>
          <w:tcPr>
            <w:tcW w:w="2268" w:type="dxa"/>
            <w:vMerge w:val="restart"/>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指标名称</w:t>
            </w:r>
          </w:p>
        </w:tc>
        <w:tc>
          <w:tcPr>
            <w:tcW w:w="2329" w:type="dxa"/>
            <w:gridSpan w:val="3"/>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计量单位</w:t>
            </w:r>
          </w:p>
        </w:tc>
        <w:tc>
          <w:tcPr>
            <w:tcW w:w="3594" w:type="dxa"/>
            <w:gridSpan w:val="2"/>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计算根据</w:t>
            </w:r>
          </w:p>
        </w:tc>
        <w:tc>
          <w:tcPr>
            <w:tcW w:w="715" w:type="dxa"/>
            <w:vMerge w:val="restart"/>
            <w:tcBorders>
              <w:top w:val="single" w:color="auto" w:sz="8"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单位换算系数</w:t>
            </w:r>
          </w:p>
        </w:tc>
      </w:tr>
      <w:tr>
        <w:tblPrEx>
          <w:tblLayout w:type="fixed"/>
          <w:tblCellMar>
            <w:top w:w="0" w:type="dxa"/>
            <w:left w:w="0" w:type="dxa"/>
            <w:bottom w:w="0" w:type="dxa"/>
            <w:right w:w="0" w:type="dxa"/>
          </w:tblCellMar>
        </w:tblPrEx>
        <w:trPr>
          <w:trHeight w:val="285" w:hRule="atLeast"/>
        </w:trPr>
        <w:tc>
          <w:tcPr>
            <w:tcW w:w="559" w:type="dxa"/>
            <w:vMerge w:val="continue"/>
            <w:tcBorders>
              <w:top w:val="single" w:color="auto" w:sz="2" w:space="0"/>
              <w:left w:val="nil"/>
              <w:bottom w:val="single" w:color="auto" w:sz="2" w:space="0"/>
              <w:right w:val="single" w:color="auto" w:sz="2" w:space="0"/>
            </w:tcBorders>
            <w:vAlign w:val="center"/>
          </w:tcPr>
          <w:p>
            <w:pPr>
              <w:spacing w:line="260" w:lineRule="exact"/>
              <w:rPr>
                <w:rFonts w:ascii="宋体" w:hAnsi="宋体" w:cs="宋体"/>
                <w:sz w:val="18"/>
                <w:szCs w:val="18"/>
              </w:rPr>
            </w:pPr>
          </w:p>
        </w:tc>
        <w:tc>
          <w:tcPr>
            <w:tcW w:w="2268" w:type="dxa"/>
            <w:vMerge w:val="continue"/>
            <w:tcBorders>
              <w:top w:val="single" w:color="auto" w:sz="2" w:space="0"/>
              <w:left w:val="single" w:color="auto" w:sz="2" w:space="0"/>
              <w:bottom w:val="single" w:color="auto" w:sz="2" w:space="0"/>
              <w:right w:val="single" w:color="auto" w:sz="2" w:space="0"/>
            </w:tcBorders>
            <w:vAlign w:val="center"/>
          </w:tcPr>
          <w:p>
            <w:pPr>
              <w:spacing w:line="260" w:lineRule="exact"/>
              <w:rPr>
                <w:rFonts w:ascii="宋体" w:hAnsi="宋体" w:cs="宋体"/>
                <w:sz w:val="18"/>
                <w:szCs w:val="18"/>
              </w:rPr>
            </w:pP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指标</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子项</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母项</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子项</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母项</w:t>
            </w:r>
          </w:p>
        </w:tc>
        <w:tc>
          <w:tcPr>
            <w:tcW w:w="715" w:type="dxa"/>
            <w:vMerge w:val="continue"/>
            <w:tcBorders>
              <w:top w:val="single" w:color="auto" w:sz="2" w:space="0"/>
              <w:left w:val="single" w:color="auto" w:sz="2" w:space="0"/>
              <w:bottom w:val="single" w:color="auto" w:sz="2" w:space="0"/>
              <w:right w:val="nil"/>
            </w:tcBorders>
            <w:vAlign w:val="center"/>
          </w:tcPr>
          <w:p>
            <w:pPr>
              <w:spacing w:line="260" w:lineRule="exact"/>
              <w:rPr>
                <w:rFonts w:ascii="宋体" w:hAnsi="宋体" w:cs="宋体"/>
                <w:sz w:val="18"/>
                <w:szCs w:val="18"/>
              </w:rPr>
            </w:pP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b/>
                <w:bCs/>
                <w:sz w:val="18"/>
                <w:szCs w:val="18"/>
              </w:rPr>
              <w:t xml:space="preserve">纺织品(17) </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1710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吨纱(线)混合数综合能耗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企业生产综合能源消费量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纱(线)混合数产量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1715</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吨纱(线)混合数生产用电量</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纱(线)混合数产量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1730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万米布混合数综合能耗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千克标准煤/万米</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万米</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企业生产综合能源消费量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布混合数产量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1740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万米布混合数生产用电量</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千瓦时/万米</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万米</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布混合数产量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1750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万米印染布综合能耗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千克标准煤/万米</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万米</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印染布产量.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1760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吨桑蚕丝综合能耗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桑蚕丝产量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1770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万米丝织品综合能耗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千克标准煤/万米</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万米</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企业生产综合能耗量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丝织品产量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1780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万米丝织品用电量</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千瓦时/万米</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万米</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丝织品产量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60" w:lineRule="exact"/>
              <w:jc w:val="left"/>
              <w:rPr>
                <w:rFonts w:ascii="宋体" w:hAnsi="宋体" w:cs="宋体"/>
                <w:b/>
                <w:bCs/>
                <w:kern w:val="0"/>
                <w:sz w:val="18"/>
                <w:szCs w:val="18"/>
              </w:rPr>
            </w:pPr>
            <w:r>
              <w:rPr>
                <w:rFonts w:hint="eastAsia" w:ascii="宋体" w:hAnsi="宋体" w:cs="宋体"/>
                <w:b/>
                <w:bCs/>
                <w:kern w:val="0"/>
                <w:sz w:val="18"/>
                <w:szCs w:val="18"/>
              </w:rPr>
              <w:t>造纸及纸制品(22)</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2202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机制纸及纸板综合能耗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企业生产综合能耗</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机制纸及纸板(外购原纸加工除外)产量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2201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机制纸及纸板耗电</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企业生产用电量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机制纸及纸板(外购原纸加工除外)产量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60" w:lineRule="exact"/>
              <w:jc w:val="left"/>
              <w:rPr>
                <w:rFonts w:ascii="宋体" w:hAnsi="宋体" w:cs="宋体"/>
                <w:b/>
                <w:bCs/>
                <w:sz w:val="18"/>
                <w:szCs w:val="18"/>
              </w:rPr>
            </w:pPr>
            <w:r>
              <w:rPr>
                <w:rFonts w:hint="eastAsia" w:ascii="宋体" w:hAnsi="宋体" w:cs="宋体"/>
                <w:b/>
                <w:bCs/>
                <w:sz w:val="18"/>
                <w:szCs w:val="18"/>
              </w:rPr>
              <w:t>焦炭(25)</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2501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炼焦工序单位能耗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炼焦工序净耗能量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全部焦炭合格产出量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60" w:lineRule="exact"/>
              <w:jc w:val="left"/>
              <w:rPr>
                <w:rFonts w:ascii="宋体" w:hAnsi="宋体" w:cs="宋体"/>
                <w:b/>
                <w:bCs/>
                <w:kern w:val="0"/>
                <w:sz w:val="18"/>
                <w:szCs w:val="18"/>
              </w:rPr>
            </w:pPr>
            <w:r>
              <w:rPr>
                <w:rFonts w:hint="eastAsia" w:ascii="宋体" w:hAnsi="宋体" w:cs="宋体"/>
                <w:b/>
                <w:bCs/>
                <w:kern w:val="0"/>
                <w:sz w:val="18"/>
                <w:szCs w:val="18"/>
              </w:rPr>
              <w:t>原油加工(25)</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2503</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原油加工单位综合能耗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千克标准油/吨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吨标准油</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综合能耗量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原油及外购原料油加工量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2502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原油加工单位耗电</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炼油系统电消耗量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原油及外购原料油加工量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60" w:lineRule="exact"/>
              <w:jc w:val="left"/>
              <w:rPr>
                <w:rFonts w:ascii="宋体" w:hAnsi="宋体" w:cs="宋体"/>
                <w:b/>
                <w:bCs/>
                <w:sz w:val="18"/>
                <w:szCs w:val="18"/>
              </w:rPr>
            </w:pPr>
            <w:r>
              <w:rPr>
                <w:rFonts w:hint="eastAsia" w:ascii="宋体" w:hAnsi="宋体" w:cs="宋体"/>
                <w:b/>
                <w:bCs/>
                <w:sz w:val="18"/>
                <w:szCs w:val="18"/>
              </w:rPr>
              <w:t>无机碱(26)</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2601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单位烧碱生产综合能耗(离子膜法30%)</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2602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单位烧碱生产耗交流电(离子膜法30%)</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交流电消耗量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2641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单位烧碱生产综合能耗(离子膜法45%)</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2642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单位烧碱生产耗交流电(离子膜法45%)</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交流电消耗量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2691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单位烧碱生产综合能耗(离子膜法98%)</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2692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单位烧碱生产耗交流电(离子膜法98%)</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交流电消耗量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2607</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单位烧碱生产综合能耗(隔膜法30%)</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2608</w:t>
            </w:r>
          </w:p>
        </w:tc>
        <w:tc>
          <w:tcPr>
            <w:tcW w:w="2268" w:type="dxa"/>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单位烧碱生产耗交流电(隔膜法30%)</w:t>
            </w:r>
          </w:p>
        </w:tc>
        <w:tc>
          <w:tcPr>
            <w:tcW w:w="1283" w:type="dxa"/>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交流电消耗量</w:t>
            </w:r>
          </w:p>
        </w:tc>
        <w:tc>
          <w:tcPr>
            <w:tcW w:w="1680" w:type="dxa"/>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8" w:space="0"/>
              <w:left w:val="nil"/>
            </w:tcBorders>
            <w:tcMar>
              <w:top w:w="15" w:type="dxa"/>
              <w:left w:w="15" w:type="dxa"/>
              <w:bottom w:w="0" w:type="dxa"/>
              <w:right w:w="15" w:type="dxa"/>
            </w:tcMar>
            <w:vAlign w:val="center"/>
          </w:tcPr>
          <w:p>
            <w:pPr>
              <w:spacing w:line="260"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left w:val="nil"/>
              <w:bottom w:val="single" w:color="auto" w:sz="8" w:space="0"/>
            </w:tcBorders>
            <w:tcMar>
              <w:top w:w="15" w:type="dxa"/>
              <w:left w:w="15" w:type="dxa"/>
              <w:bottom w:w="0" w:type="dxa"/>
              <w:right w:w="15" w:type="dxa"/>
            </w:tcMar>
            <w:vAlign w:val="center"/>
          </w:tcPr>
          <w:p>
            <w:pPr>
              <w:spacing w:line="246"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559" w:type="dxa"/>
            <w:vMerge w:val="restart"/>
            <w:tcBorders>
              <w:top w:val="single" w:color="auto" w:sz="8"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代码</w:t>
            </w:r>
          </w:p>
        </w:tc>
        <w:tc>
          <w:tcPr>
            <w:tcW w:w="2268" w:type="dxa"/>
            <w:vMerge w:val="restart"/>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指标名称</w:t>
            </w:r>
          </w:p>
        </w:tc>
        <w:tc>
          <w:tcPr>
            <w:tcW w:w="2329" w:type="dxa"/>
            <w:gridSpan w:val="3"/>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计量单位</w:t>
            </w:r>
          </w:p>
        </w:tc>
        <w:tc>
          <w:tcPr>
            <w:tcW w:w="3594" w:type="dxa"/>
            <w:gridSpan w:val="2"/>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计算根据</w:t>
            </w:r>
          </w:p>
        </w:tc>
        <w:tc>
          <w:tcPr>
            <w:tcW w:w="715" w:type="dxa"/>
            <w:vMerge w:val="restart"/>
            <w:tcBorders>
              <w:top w:val="single" w:color="auto" w:sz="8"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单位换算系数</w:t>
            </w:r>
          </w:p>
        </w:tc>
      </w:tr>
      <w:tr>
        <w:tblPrEx>
          <w:tblLayout w:type="fixed"/>
          <w:tblCellMar>
            <w:top w:w="0" w:type="dxa"/>
            <w:left w:w="0" w:type="dxa"/>
            <w:bottom w:w="0" w:type="dxa"/>
            <w:right w:w="0" w:type="dxa"/>
          </w:tblCellMar>
        </w:tblPrEx>
        <w:trPr>
          <w:trHeight w:val="285" w:hRule="atLeast"/>
        </w:trPr>
        <w:tc>
          <w:tcPr>
            <w:tcW w:w="559" w:type="dxa"/>
            <w:vMerge w:val="continue"/>
            <w:tcBorders>
              <w:top w:val="single" w:color="auto" w:sz="2" w:space="0"/>
              <w:left w:val="nil"/>
              <w:bottom w:val="single" w:color="auto" w:sz="2" w:space="0"/>
              <w:right w:val="single" w:color="auto" w:sz="2" w:space="0"/>
            </w:tcBorders>
            <w:vAlign w:val="center"/>
          </w:tcPr>
          <w:p>
            <w:pPr>
              <w:spacing w:line="246" w:lineRule="exact"/>
              <w:jc w:val="center"/>
              <w:rPr>
                <w:rFonts w:ascii="宋体" w:hAnsi="宋体" w:cs="宋体"/>
                <w:sz w:val="18"/>
                <w:szCs w:val="18"/>
              </w:rPr>
            </w:pPr>
          </w:p>
        </w:tc>
        <w:tc>
          <w:tcPr>
            <w:tcW w:w="2268" w:type="dxa"/>
            <w:vMerge w:val="continue"/>
            <w:tcBorders>
              <w:top w:val="single" w:color="auto" w:sz="2" w:space="0"/>
              <w:left w:val="single" w:color="auto" w:sz="2" w:space="0"/>
              <w:bottom w:val="single" w:color="auto" w:sz="2" w:space="0"/>
              <w:right w:val="single" w:color="auto" w:sz="2" w:space="0"/>
            </w:tcBorders>
            <w:vAlign w:val="center"/>
          </w:tcPr>
          <w:p>
            <w:pPr>
              <w:spacing w:line="246" w:lineRule="exact"/>
              <w:rPr>
                <w:rFonts w:ascii="宋体" w:hAnsi="宋体" w:cs="宋体"/>
                <w:sz w:val="18"/>
                <w:szCs w:val="18"/>
              </w:rPr>
            </w:pP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指标</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子项</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母项</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子项</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母项</w:t>
            </w:r>
          </w:p>
        </w:tc>
        <w:tc>
          <w:tcPr>
            <w:tcW w:w="715" w:type="dxa"/>
            <w:vMerge w:val="continue"/>
            <w:tcBorders>
              <w:top w:val="single" w:color="auto" w:sz="2" w:space="0"/>
              <w:left w:val="single" w:color="auto" w:sz="2" w:space="0"/>
              <w:bottom w:val="single" w:color="auto" w:sz="2" w:space="0"/>
              <w:right w:val="nil"/>
            </w:tcBorders>
            <w:vAlign w:val="center"/>
          </w:tcPr>
          <w:p>
            <w:pPr>
              <w:spacing w:line="246"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46" w:lineRule="exact"/>
              <w:jc w:val="center"/>
              <w:rPr>
                <w:rFonts w:ascii="宋体" w:hAnsi="宋体" w:cs="宋体"/>
                <w:sz w:val="18"/>
                <w:szCs w:val="18"/>
              </w:rPr>
            </w:pPr>
            <w:r>
              <w:rPr>
                <w:rFonts w:ascii="宋体" w:hAnsi="宋体" w:cs="宋体"/>
                <w:sz w:val="18"/>
                <w:szCs w:val="18"/>
              </w:rPr>
              <w:t>2610</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6" w:lineRule="exact"/>
              <w:rPr>
                <w:rFonts w:ascii="宋体" w:hAnsi="宋体" w:cs="宋体"/>
                <w:sz w:val="18"/>
                <w:szCs w:val="18"/>
              </w:rPr>
            </w:pPr>
            <w:r>
              <w:rPr>
                <w:rFonts w:hint="eastAsia" w:ascii="宋体" w:hAnsi="宋体" w:cs="宋体"/>
                <w:sz w:val="18"/>
                <w:szCs w:val="18"/>
              </w:rPr>
              <w:t>单位烧碱生产综合能耗(隔膜法42%)</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46" w:lineRule="exact"/>
              <w:jc w:val="center"/>
              <w:rPr>
                <w:rFonts w:ascii="宋体" w:hAnsi="宋体" w:cs="宋体"/>
                <w:sz w:val="18"/>
                <w:szCs w:val="18"/>
              </w:rPr>
            </w:pPr>
            <w:r>
              <w:rPr>
                <w:rFonts w:ascii="宋体" w:hAnsi="宋体" w:cs="宋体"/>
                <w:sz w:val="18"/>
                <w:szCs w:val="18"/>
              </w:rPr>
              <w:t>2611</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6" w:lineRule="exact"/>
              <w:rPr>
                <w:rFonts w:ascii="宋体" w:hAnsi="宋体" w:cs="宋体"/>
                <w:sz w:val="18"/>
                <w:szCs w:val="18"/>
              </w:rPr>
            </w:pPr>
            <w:r>
              <w:rPr>
                <w:rFonts w:hint="eastAsia" w:ascii="宋体" w:hAnsi="宋体" w:cs="宋体"/>
                <w:sz w:val="18"/>
                <w:szCs w:val="18"/>
              </w:rPr>
              <w:t>单位烧碱生产耗交流电(隔膜法42%)</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交流电消耗量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vAlign w:val="center"/>
          </w:tcPr>
          <w:p>
            <w:pPr>
              <w:spacing w:line="246"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46" w:lineRule="exact"/>
              <w:jc w:val="center"/>
              <w:rPr>
                <w:rFonts w:ascii="宋体" w:hAnsi="宋体" w:cs="宋体"/>
                <w:sz w:val="18"/>
                <w:szCs w:val="18"/>
              </w:rPr>
            </w:pPr>
            <w:r>
              <w:rPr>
                <w:rFonts w:ascii="宋体" w:hAnsi="宋体" w:cs="宋体"/>
                <w:sz w:val="18"/>
                <w:szCs w:val="18"/>
              </w:rPr>
              <w:t>2613</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6" w:lineRule="exact"/>
              <w:rPr>
                <w:rFonts w:ascii="宋体" w:hAnsi="宋体" w:cs="宋体"/>
                <w:sz w:val="18"/>
                <w:szCs w:val="18"/>
              </w:rPr>
            </w:pPr>
            <w:r>
              <w:rPr>
                <w:rFonts w:hint="eastAsia" w:ascii="宋体" w:hAnsi="宋体" w:cs="宋体"/>
                <w:sz w:val="18"/>
                <w:szCs w:val="18"/>
              </w:rPr>
              <w:t>单位烧碱生产综合能耗(隔膜法96%)</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烧碱综合能源消耗量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46" w:lineRule="exact"/>
              <w:jc w:val="center"/>
              <w:rPr>
                <w:rFonts w:ascii="宋体" w:hAnsi="宋体" w:cs="宋体"/>
                <w:sz w:val="18"/>
                <w:szCs w:val="18"/>
              </w:rPr>
            </w:pPr>
            <w:r>
              <w:rPr>
                <w:rFonts w:ascii="宋体" w:hAnsi="宋体" w:cs="宋体"/>
                <w:sz w:val="18"/>
                <w:szCs w:val="18"/>
              </w:rPr>
              <w:t>2614</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6" w:lineRule="exact"/>
              <w:rPr>
                <w:rFonts w:ascii="宋体" w:hAnsi="宋体" w:cs="宋体"/>
                <w:sz w:val="18"/>
                <w:szCs w:val="18"/>
              </w:rPr>
            </w:pPr>
            <w:r>
              <w:rPr>
                <w:rFonts w:hint="eastAsia" w:ascii="宋体" w:hAnsi="宋体" w:cs="宋体"/>
                <w:sz w:val="18"/>
                <w:szCs w:val="18"/>
              </w:rPr>
              <w:t>单位烧碱生产耗交流电(隔膜法96%)</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交流电消耗量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烧碱(折100%)产量</w:t>
            </w:r>
          </w:p>
        </w:tc>
        <w:tc>
          <w:tcPr>
            <w:tcW w:w="715" w:type="dxa"/>
            <w:tcBorders>
              <w:top w:val="single" w:color="auto" w:sz="2" w:space="0"/>
              <w:left w:val="single" w:color="auto" w:sz="2" w:space="0"/>
              <w:bottom w:val="single" w:color="auto" w:sz="2" w:space="0"/>
              <w:right w:val="nil"/>
            </w:tcBorders>
            <w:vAlign w:val="center"/>
          </w:tcPr>
          <w:p>
            <w:pPr>
              <w:spacing w:line="246"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46" w:lineRule="exact"/>
              <w:jc w:val="center"/>
              <w:rPr>
                <w:rFonts w:ascii="宋体" w:hAnsi="宋体" w:cs="宋体"/>
                <w:sz w:val="18"/>
                <w:szCs w:val="18"/>
              </w:rPr>
            </w:pPr>
            <w:r>
              <w:rPr>
                <w:rFonts w:ascii="宋体" w:hAnsi="宋体" w:cs="宋体"/>
                <w:sz w:val="18"/>
                <w:szCs w:val="18"/>
              </w:rPr>
              <w:t>2661</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6" w:lineRule="exact"/>
              <w:rPr>
                <w:rFonts w:ascii="宋体" w:hAnsi="宋体" w:cs="宋体"/>
                <w:sz w:val="18"/>
                <w:szCs w:val="18"/>
              </w:rPr>
            </w:pPr>
            <w:r>
              <w:rPr>
                <w:rFonts w:hint="eastAsia" w:ascii="宋体" w:hAnsi="宋体" w:cs="宋体"/>
                <w:sz w:val="18"/>
                <w:szCs w:val="18"/>
              </w:rPr>
              <w:t>氨碱法单位纯碱生产综合能耗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纯碱综合能源消耗总量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纯碱(碳酸钠)产量</w:t>
            </w:r>
          </w:p>
        </w:tc>
        <w:tc>
          <w:tcPr>
            <w:tcW w:w="715" w:type="dxa"/>
            <w:tcBorders>
              <w:top w:val="single" w:color="auto" w:sz="2" w:space="0"/>
              <w:left w:val="single" w:color="auto" w:sz="2" w:space="0"/>
              <w:bottom w:val="single" w:color="auto" w:sz="2" w:space="0"/>
              <w:right w:val="nil"/>
            </w:tcBorders>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2662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氨碱法单位纯碱生产耗电</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纯碱生产耗电总量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纯碱(碳酸钠)产量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2663</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联碱法纯碱双吨产品生产综合能耗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双吨产品综合能源消耗总量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纯碱(碳酸钠)产量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2664</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联碱法纯碱双吨产品生产耗电</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双吨产品生产耗电总量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纯碱(碳酸钠)产量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2665</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天然碱法单位纯碱生产综合能耗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纯碱综合能源消耗总量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纯碱(碳酸钠)产量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2666</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天然碱法单位纯碱生产耗电</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纯碱生产耗电总量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纯碱(碳酸钠)产量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46" w:lineRule="exact"/>
              <w:jc w:val="left"/>
              <w:rPr>
                <w:rFonts w:ascii="宋体" w:hAnsi="宋体" w:cs="宋体"/>
                <w:b/>
                <w:bCs/>
                <w:sz w:val="18"/>
                <w:szCs w:val="18"/>
              </w:rPr>
            </w:pPr>
            <w:r>
              <w:rPr>
                <w:rFonts w:hint="eastAsia" w:ascii="宋体" w:hAnsi="宋体" w:cs="宋体"/>
                <w:b/>
                <w:bCs/>
                <w:sz w:val="18"/>
                <w:szCs w:val="18"/>
              </w:rPr>
              <w:t>无机盐(26)</w:t>
            </w:r>
          </w:p>
        </w:tc>
      </w:tr>
      <w:tr>
        <w:tblPrEx>
          <w:tblLayout w:type="fixed"/>
          <w:tblCellMar>
            <w:top w:w="0" w:type="dxa"/>
            <w:left w:w="0" w:type="dxa"/>
            <w:bottom w:w="0" w:type="dxa"/>
            <w:right w:w="0" w:type="dxa"/>
          </w:tblCellMar>
        </w:tblPrEx>
        <w:trPr>
          <w:trHeight w:val="46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2619</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单位电石生产综合能耗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电石综合能源消耗总量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碳化钙(电石，折300升/千克)产量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46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2620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单位电石生产电力消耗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电石生产耗电总量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碳化钙(电石，折300升/千克)产量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2671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单位黄磷生产综合能耗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黄磷综合能源消耗总量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黄磷产量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2672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单位黄磷生产电力消耗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黄磷生产耗电总量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黄磷产量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46" w:lineRule="exact"/>
              <w:jc w:val="left"/>
              <w:rPr>
                <w:rFonts w:ascii="宋体" w:hAnsi="宋体" w:cs="宋体"/>
                <w:b/>
                <w:bCs/>
                <w:sz w:val="18"/>
                <w:szCs w:val="18"/>
              </w:rPr>
            </w:pPr>
            <w:r>
              <w:rPr>
                <w:rFonts w:hint="eastAsia" w:ascii="宋体" w:hAnsi="宋体" w:cs="宋体"/>
                <w:b/>
                <w:bCs/>
                <w:sz w:val="18"/>
                <w:szCs w:val="18"/>
              </w:rPr>
              <w:t>有机化学原料(26)</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2621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 xml:space="preserve">单位乙烯生产综合能耗  </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乙烯燃料动力消耗总量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乙烯产量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2622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 xml:space="preserve">单位乙烯生产耗电  </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乙烯生产耗电量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乙烯产量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46" w:lineRule="exact"/>
              <w:jc w:val="left"/>
              <w:rPr>
                <w:rFonts w:ascii="宋体" w:hAnsi="宋体" w:cs="宋体"/>
                <w:b/>
                <w:bCs/>
                <w:sz w:val="18"/>
                <w:szCs w:val="18"/>
              </w:rPr>
            </w:pPr>
            <w:r>
              <w:rPr>
                <w:rFonts w:hint="eastAsia" w:ascii="宋体" w:hAnsi="宋体" w:cs="宋体"/>
                <w:b/>
                <w:bCs/>
                <w:sz w:val="18"/>
                <w:szCs w:val="18"/>
              </w:rPr>
              <w:t>氮肥(26)</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2623</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单位合成氨生产综合能耗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合成氨综合能源消耗量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合成氨(无水氨)产量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2625</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单位合成氨耗电</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合成氨耗电总量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合成氨(无水氨)产量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2626</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单位合成氨耗原料煤</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合成氨原料煤耗折标煤</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合成氨(无水氨)产量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2627</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单位合成氨耗标准燃料煤</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合成氨耗标准燃料煤总量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合成氨(无水氨)产量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2624</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单位合成氨耗天然气</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标准立方米/吨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万标准立方米</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合成氨耗天然气</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合成氨(无水氨)产量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46" w:lineRule="exact"/>
              <w:jc w:val="left"/>
              <w:rPr>
                <w:rFonts w:ascii="宋体" w:hAnsi="宋体" w:cs="宋体"/>
                <w:b/>
                <w:bCs/>
                <w:sz w:val="18"/>
                <w:szCs w:val="18"/>
              </w:rPr>
            </w:pPr>
            <w:r>
              <w:rPr>
                <w:rFonts w:hint="eastAsia" w:ascii="宋体" w:hAnsi="宋体" w:cs="宋体"/>
                <w:b/>
                <w:bCs/>
                <w:sz w:val="18"/>
                <w:szCs w:val="18"/>
              </w:rPr>
              <w:t>水泥(30)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ascii="宋体" w:hAnsi="宋体" w:cs="宋体"/>
                <w:sz w:val="18"/>
                <w:szCs w:val="18"/>
              </w:rPr>
              <w:t>3001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吨水泥熟料综合能耗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硅酸盐水泥熟料综合能源消费量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6" w:lineRule="exact"/>
              <w:rPr>
                <w:rFonts w:ascii="宋体" w:hAnsi="宋体" w:cs="宋体"/>
                <w:sz w:val="18"/>
                <w:szCs w:val="18"/>
              </w:rPr>
            </w:pPr>
            <w:r>
              <w:rPr>
                <w:rFonts w:hint="eastAsia" w:ascii="宋体" w:hAnsi="宋体" w:cs="宋体"/>
                <w:sz w:val="18"/>
                <w:szCs w:val="18"/>
              </w:rPr>
              <w:t>硅酸盐水泥熟料产量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46"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8" w:space="0"/>
              <w:left w:val="nil"/>
            </w:tcBorders>
            <w:tcMar>
              <w:top w:w="15" w:type="dxa"/>
              <w:left w:w="15" w:type="dxa"/>
              <w:bottom w:w="0" w:type="dxa"/>
              <w:right w:w="15" w:type="dxa"/>
            </w:tcMar>
            <w:vAlign w:val="center"/>
          </w:tcPr>
          <w:p>
            <w:pPr>
              <w:spacing w:line="250"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left w:val="nil"/>
              <w:bottom w:val="single" w:color="auto" w:sz="8" w:space="0"/>
            </w:tcBorders>
            <w:tcMar>
              <w:top w:w="15" w:type="dxa"/>
              <w:left w:w="15" w:type="dxa"/>
              <w:bottom w:w="0" w:type="dxa"/>
              <w:right w:w="15" w:type="dxa"/>
            </w:tcMar>
            <w:vAlign w:val="center"/>
          </w:tcPr>
          <w:p>
            <w:pPr>
              <w:spacing w:line="250"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559" w:type="dxa"/>
            <w:vMerge w:val="restart"/>
            <w:tcBorders>
              <w:top w:val="single" w:color="auto" w:sz="8"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代码</w:t>
            </w:r>
          </w:p>
        </w:tc>
        <w:tc>
          <w:tcPr>
            <w:tcW w:w="2268" w:type="dxa"/>
            <w:vMerge w:val="restart"/>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指标名称</w:t>
            </w:r>
          </w:p>
        </w:tc>
        <w:tc>
          <w:tcPr>
            <w:tcW w:w="2329" w:type="dxa"/>
            <w:gridSpan w:val="3"/>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计量单位</w:t>
            </w:r>
          </w:p>
        </w:tc>
        <w:tc>
          <w:tcPr>
            <w:tcW w:w="3594" w:type="dxa"/>
            <w:gridSpan w:val="2"/>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计算根据</w:t>
            </w:r>
          </w:p>
        </w:tc>
        <w:tc>
          <w:tcPr>
            <w:tcW w:w="715" w:type="dxa"/>
            <w:vMerge w:val="restart"/>
            <w:tcBorders>
              <w:top w:val="single" w:color="auto" w:sz="8"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单位换算系数</w:t>
            </w:r>
          </w:p>
        </w:tc>
      </w:tr>
      <w:tr>
        <w:tblPrEx>
          <w:tblLayout w:type="fixed"/>
          <w:tblCellMar>
            <w:top w:w="0" w:type="dxa"/>
            <w:left w:w="0" w:type="dxa"/>
            <w:bottom w:w="0" w:type="dxa"/>
            <w:right w:w="0" w:type="dxa"/>
          </w:tblCellMar>
        </w:tblPrEx>
        <w:trPr>
          <w:trHeight w:val="285" w:hRule="atLeast"/>
        </w:trPr>
        <w:tc>
          <w:tcPr>
            <w:tcW w:w="559" w:type="dxa"/>
            <w:vMerge w:val="continue"/>
            <w:tcBorders>
              <w:top w:val="single" w:color="auto" w:sz="2" w:space="0"/>
              <w:left w:val="nil"/>
              <w:bottom w:val="single" w:color="auto" w:sz="2" w:space="0"/>
              <w:right w:val="single" w:color="auto" w:sz="2" w:space="0"/>
            </w:tcBorders>
            <w:vAlign w:val="center"/>
          </w:tcPr>
          <w:p>
            <w:pPr>
              <w:spacing w:line="250" w:lineRule="exact"/>
              <w:jc w:val="center"/>
              <w:rPr>
                <w:rFonts w:ascii="宋体" w:hAnsi="宋体" w:cs="宋体"/>
                <w:sz w:val="18"/>
                <w:szCs w:val="18"/>
              </w:rPr>
            </w:pPr>
          </w:p>
        </w:tc>
        <w:tc>
          <w:tcPr>
            <w:tcW w:w="2268" w:type="dxa"/>
            <w:vMerge w:val="continue"/>
            <w:tcBorders>
              <w:top w:val="single" w:color="auto" w:sz="2" w:space="0"/>
              <w:left w:val="single" w:color="auto" w:sz="2" w:space="0"/>
              <w:bottom w:val="single" w:color="auto" w:sz="2" w:space="0"/>
              <w:right w:val="single" w:color="auto" w:sz="2" w:space="0"/>
            </w:tcBorders>
            <w:vAlign w:val="center"/>
          </w:tcPr>
          <w:p>
            <w:pPr>
              <w:spacing w:line="250" w:lineRule="exact"/>
              <w:rPr>
                <w:rFonts w:ascii="宋体" w:hAnsi="宋体" w:cs="宋体"/>
                <w:sz w:val="18"/>
                <w:szCs w:val="18"/>
              </w:rPr>
            </w:pP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指标</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子项</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母项</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子项</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母项</w:t>
            </w:r>
          </w:p>
        </w:tc>
        <w:tc>
          <w:tcPr>
            <w:tcW w:w="715" w:type="dxa"/>
            <w:vMerge w:val="continue"/>
            <w:tcBorders>
              <w:top w:val="single" w:color="auto" w:sz="2" w:space="0"/>
              <w:left w:val="single" w:color="auto" w:sz="2" w:space="0"/>
              <w:bottom w:val="single" w:color="auto" w:sz="2" w:space="0"/>
              <w:right w:val="nil"/>
            </w:tcBorders>
            <w:vAlign w:val="center"/>
          </w:tcPr>
          <w:p>
            <w:pPr>
              <w:spacing w:line="250"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50" w:lineRule="exact"/>
              <w:jc w:val="center"/>
              <w:rPr>
                <w:rFonts w:ascii="宋体" w:hAnsi="宋体" w:cs="宋体"/>
                <w:sz w:val="18"/>
                <w:szCs w:val="18"/>
              </w:rPr>
            </w:pPr>
            <w:r>
              <w:rPr>
                <w:rFonts w:ascii="宋体" w:hAnsi="宋体" w:cs="宋体"/>
                <w:sz w:val="18"/>
                <w:szCs w:val="18"/>
              </w:rPr>
              <w:t>3004</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50" w:lineRule="exact"/>
              <w:rPr>
                <w:rFonts w:ascii="宋体" w:hAnsi="宋体" w:cs="宋体"/>
                <w:sz w:val="18"/>
                <w:szCs w:val="18"/>
              </w:rPr>
            </w:pPr>
            <w:r>
              <w:rPr>
                <w:rFonts w:hint="eastAsia" w:ascii="宋体" w:hAnsi="宋体" w:cs="宋体"/>
                <w:sz w:val="18"/>
                <w:szCs w:val="18"/>
              </w:rPr>
              <w:t>吨水泥熟料综合电耗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硅酸盐水泥熟料生产综合电力消费量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硅酸盐水泥熟料产量</w:t>
            </w:r>
          </w:p>
        </w:tc>
        <w:tc>
          <w:tcPr>
            <w:tcW w:w="715" w:type="dxa"/>
            <w:tcBorders>
              <w:top w:val="single" w:color="auto" w:sz="2" w:space="0"/>
              <w:left w:val="single" w:color="auto" w:sz="2" w:space="0"/>
              <w:bottom w:val="single" w:color="auto" w:sz="2" w:space="0"/>
              <w:right w:val="nil"/>
            </w:tcBorders>
            <w:vAlign w:val="center"/>
          </w:tcPr>
          <w:p>
            <w:pPr>
              <w:spacing w:line="25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50" w:lineRule="exact"/>
              <w:jc w:val="center"/>
              <w:rPr>
                <w:rFonts w:ascii="宋体" w:hAnsi="宋体" w:cs="宋体"/>
                <w:sz w:val="18"/>
                <w:szCs w:val="18"/>
              </w:rPr>
            </w:pPr>
            <w:r>
              <w:rPr>
                <w:rFonts w:ascii="宋体" w:hAnsi="宋体" w:cs="宋体"/>
                <w:sz w:val="18"/>
                <w:szCs w:val="18"/>
              </w:rPr>
              <w:t>3003</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50" w:lineRule="exact"/>
              <w:rPr>
                <w:rFonts w:ascii="宋体" w:hAnsi="宋体" w:cs="宋体"/>
                <w:sz w:val="18"/>
                <w:szCs w:val="18"/>
              </w:rPr>
            </w:pPr>
            <w:r>
              <w:rPr>
                <w:rFonts w:hint="eastAsia" w:ascii="宋体" w:hAnsi="宋体" w:cs="宋体"/>
                <w:sz w:val="18"/>
                <w:szCs w:val="18"/>
              </w:rPr>
              <w:t>吨水泥熟料烧成标准煤耗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硅酸盐水泥熟料标准煤消费量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硅酸盐水泥熟料产量</w:t>
            </w:r>
          </w:p>
        </w:tc>
        <w:tc>
          <w:tcPr>
            <w:tcW w:w="715" w:type="dxa"/>
            <w:tcBorders>
              <w:top w:val="single" w:color="auto" w:sz="2" w:space="0"/>
              <w:left w:val="single" w:color="auto" w:sz="2" w:space="0"/>
              <w:bottom w:val="single" w:color="auto" w:sz="2" w:space="0"/>
              <w:right w:val="nil"/>
            </w:tcBorders>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50" w:lineRule="exact"/>
              <w:jc w:val="center"/>
              <w:rPr>
                <w:rFonts w:ascii="宋体" w:hAnsi="宋体" w:cs="宋体"/>
                <w:sz w:val="18"/>
                <w:szCs w:val="18"/>
              </w:rPr>
            </w:pPr>
            <w:r>
              <w:rPr>
                <w:rFonts w:ascii="宋体" w:hAnsi="宋体" w:cs="宋体"/>
                <w:sz w:val="18"/>
                <w:szCs w:val="18"/>
              </w:rPr>
              <w:t>3005</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50" w:lineRule="exact"/>
              <w:rPr>
                <w:rFonts w:ascii="宋体" w:hAnsi="宋体" w:cs="宋体"/>
                <w:sz w:val="18"/>
                <w:szCs w:val="18"/>
              </w:rPr>
            </w:pPr>
            <w:r>
              <w:rPr>
                <w:rFonts w:hint="eastAsia" w:ascii="宋体" w:hAnsi="宋体" w:cs="宋体"/>
                <w:sz w:val="18"/>
                <w:szCs w:val="18"/>
              </w:rPr>
              <w:t>吨水泥综合能耗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水泥产量</w:t>
            </w:r>
          </w:p>
        </w:tc>
        <w:tc>
          <w:tcPr>
            <w:tcW w:w="715" w:type="dxa"/>
            <w:tcBorders>
              <w:top w:val="single" w:color="auto" w:sz="2" w:space="0"/>
              <w:left w:val="single" w:color="auto" w:sz="2" w:space="0"/>
              <w:bottom w:val="single" w:color="auto" w:sz="2" w:space="0"/>
              <w:right w:val="nil"/>
            </w:tcBorders>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50" w:lineRule="exact"/>
              <w:jc w:val="center"/>
              <w:rPr>
                <w:rFonts w:ascii="宋体" w:hAnsi="宋体" w:cs="宋体"/>
                <w:sz w:val="18"/>
                <w:szCs w:val="18"/>
              </w:rPr>
            </w:pPr>
            <w:r>
              <w:rPr>
                <w:rFonts w:ascii="宋体" w:hAnsi="宋体" w:cs="宋体"/>
                <w:sz w:val="18"/>
                <w:szCs w:val="18"/>
              </w:rPr>
              <w:t>3007</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50" w:lineRule="exact"/>
              <w:rPr>
                <w:rFonts w:ascii="宋体" w:hAnsi="宋体" w:cs="宋体"/>
                <w:sz w:val="18"/>
                <w:szCs w:val="18"/>
              </w:rPr>
            </w:pPr>
            <w:r>
              <w:rPr>
                <w:rFonts w:hint="eastAsia" w:ascii="宋体" w:hAnsi="宋体" w:cs="宋体"/>
                <w:sz w:val="18"/>
                <w:szCs w:val="18"/>
              </w:rPr>
              <w:t>吨水泥综合电耗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水泥生产综合电力消费量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水泥产量</w:t>
            </w:r>
          </w:p>
        </w:tc>
        <w:tc>
          <w:tcPr>
            <w:tcW w:w="715" w:type="dxa"/>
            <w:tcBorders>
              <w:top w:val="single" w:color="auto" w:sz="2" w:space="0"/>
              <w:left w:val="single" w:color="auto" w:sz="2" w:space="0"/>
              <w:bottom w:val="single" w:color="auto" w:sz="2" w:space="0"/>
              <w:right w:val="nil"/>
            </w:tcBorders>
            <w:vAlign w:val="center"/>
          </w:tcPr>
          <w:p>
            <w:pPr>
              <w:spacing w:line="25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50" w:lineRule="exact"/>
              <w:jc w:val="center"/>
              <w:rPr>
                <w:rFonts w:ascii="宋体" w:hAnsi="宋体" w:cs="宋体"/>
                <w:sz w:val="18"/>
                <w:szCs w:val="18"/>
              </w:rPr>
            </w:pPr>
            <w:r>
              <w:rPr>
                <w:rFonts w:ascii="宋体" w:hAnsi="宋体" w:cs="宋体"/>
                <w:sz w:val="18"/>
                <w:szCs w:val="18"/>
              </w:rPr>
              <w:t>3020</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50" w:lineRule="exact"/>
              <w:rPr>
                <w:rFonts w:ascii="宋体" w:hAnsi="宋体" w:cs="宋体"/>
                <w:sz w:val="18"/>
                <w:szCs w:val="18"/>
              </w:rPr>
            </w:pPr>
            <w:r>
              <w:rPr>
                <w:rFonts w:hint="eastAsia" w:ascii="宋体" w:hAnsi="宋体" w:cs="宋体"/>
                <w:sz w:val="18"/>
                <w:szCs w:val="18"/>
              </w:rPr>
              <w:t>吨水泥标准煤耗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水泥生产标准煤消费量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水泥产量</w:t>
            </w:r>
          </w:p>
        </w:tc>
        <w:tc>
          <w:tcPr>
            <w:tcW w:w="715" w:type="dxa"/>
            <w:tcBorders>
              <w:top w:val="single" w:color="auto" w:sz="2" w:space="0"/>
              <w:left w:val="single" w:color="auto" w:sz="2" w:space="0"/>
              <w:bottom w:val="single" w:color="auto" w:sz="2" w:space="0"/>
              <w:right w:val="nil"/>
            </w:tcBorders>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tcBorders>
            <w:vAlign w:val="center"/>
          </w:tcPr>
          <w:p>
            <w:pPr>
              <w:spacing w:line="250" w:lineRule="exact"/>
              <w:rPr>
                <w:rFonts w:ascii="宋体" w:hAnsi="宋体" w:cs="宋体"/>
                <w:sz w:val="18"/>
                <w:szCs w:val="18"/>
              </w:rPr>
            </w:pPr>
            <w:r>
              <w:rPr>
                <w:rFonts w:hint="eastAsia" w:ascii="宋体" w:hAnsi="宋体" w:cs="宋体"/>
                <w:b/>
                <w:bCs/>
                <w:sz w:val="18"/>
                <w:szCs w:val="18"/>
              </w:rPr>
              <w:t xml:space="preserve">平板玻璃(30) </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50" w:lineRule="exact"/>
              <w:jc w:val="center"/>
              <w:rPr>
                <w:rFonts w:ascii="宋体" w:hAnsi="宋体" w:cs="宋体"/>
                <w:sz w:val="18"/>
                <w:szCs w:val="18"/>
              </w:rPr>
            </w:pPr>
            <w:r>
              <w:rPr>
                <w:rFonts w:ascii="宋体" w:hAnsi="宋体" w:cs="宋体"/>
                <w:sz w:val="18"/>
                <w:szCs w:val="18"/>
              </w:rPr>
              <w:t>3008</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50" w:lineRule="exact"/>
              <w:rPr>
                <w:rFonts w:ascii="宋体" w:hAnsi="宋体" w:cs="宋体"/>
                <w:sz w:val="18"/>
                <w:szCs w:val="18"/>
              </w:rPr>
            </w:pPr>
            <w:r>
              <w:rPr>
                <w:rFonts w:hint="eastAsia" w:ascii="宋体" w:hAnsi="宋体" w:cs="宋体"/>
                <w:sz w:val="18"/>
                <w:szCs w:val="18"/>
              </w:rPr>
              <w:t>每重量箱平板玻璃综合能耗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千克标准煤/重量箱</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重量箱</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平板玻璃综合能源消耗量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平板玻璃产量</w:t>
            </w:r>
          </w:p>
        </w:tc>
        <w:tc>
          <w:tcPr>
            <w:tcW w:w="715" w:type="dxa"/>
            <w:tcBorders>
              <w:top w:val="single" w:color="auto" w:sz="2" w:space="0"/>
              <w:left w:val="single" w:color="auto" w:sz="2" w:space="0"/>
              <w:bottom w:val="single" w:color="auto" w:sz="2" w:space="0"/>
              <w:right w:val="nil"/>
            </w:tcBorders>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3010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每重量箱平板玻璃耗电</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千瓦时/重量箱</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重量箱</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平板玻璃电力消耗</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平板玻璃产量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3009</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每重量箱平板玻璃耗燃油</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千克/重量箱</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重量箱</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平板玻璃燃油消耗</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平板玻璃产量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50" w:lineRule="exact"/>
              <w:rPr>
                <w:rFonts w:ascii="宋体" w:hAnsi="宋体" w:cs="宋体"/>
                <w:b/>
                <w:bCs/>
                <w:sz w:val="18"/>
                <w:szCs w:val="18"/>
              </w:rPr>
            </w:pPr>
            <w:r>
              <w:rPr>
                <w:rFonts w:hint="eastAsia" w:ascii="宋体" w:hAnsi="宋体" w:cs="宋体"/>
                <w:b/>
                <w:bCs/>
                <w:sz w:val="18"/>
                <w:szCs w:val="18"/>
              </w:rPr>
              <w:t>黑色金属(31)</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3101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吨钢综合能耗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企业自耗能源量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粗钢合格产出量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3102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吨钢耗电</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钢铁生产自耗电量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粗钢合格产出量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572"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3103</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吨钢可比能耗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由大型钢铁联合企业填报</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粗钢合格产出量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3104</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炼铁工序单位能耗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炼铁工序净耗能量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生铁合格产出量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55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3120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铁矿烧结工序单位能耗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铁矿烧结工序净耗能量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铁矿烧结矿合格产出量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3106</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转炉炼钢综合工序单位能耗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转炉炼钢综合工序净耗能量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转炉钢合格产出量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3107</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电炉炼钢综合工序单位能耗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电炉炼钢综合工序净耗能量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电炉钢合格产出量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3108</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电炉炼钢综合电力消耗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电炉炼钢综合电力净耗量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电炉钢合格产出量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55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3130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硅铁工序单位能耗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千克标准煤/标准吨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标准吨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硅铁工序净耗能量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硅铁(折合含硅75%)合格产品标准量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55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3140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锰硅合金工序单位能耗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千克标准煤/标准吨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标准吨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锰硅合金工序净耗能量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锰硅合金合格产品标准量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55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3150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硅铁单位电耗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千瓦时/标准吨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标准吨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硅铁冶炼总耗电量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硅铁(折合含硅75%)合格产品标准量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57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3160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锰硅合金单位电耗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千瓦时/标准吨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标准吨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锰硅合金冶炼总耗电量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锰硅合金合格产品标准量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3111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轧钢工序单位能耗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轧钢工序净耗能量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钢材产品合格产出量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3112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轧钢工序单位电力消耗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轧钢工序电力净消耗量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钢材产品合格产出量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559" w:type="dxa"/>
            <w:tcBorders>
              <w:top w:val="single" w:color="auto" w:sz="2" w:space="0"/>
              <w:left w:val="nil"/>
              <w:bottom w:val="single" w:color="auto" w:sz="4"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ascii="宋体" w:hAnsi="宋体" w:cs="宋体"/>
                <w:sz w:val="18"/>
                <w:szCs w:val="18"/>
              </w:rPr>
              <w:t>3113</w:t>
            </w:r>
          </w:p>
        </w:tc>
        <w:tc>
          <w:tcPr>
            <w:tcW w:w="2268" w:type="dxa"/>
            <w:tcBorders>
              <w:top w:val="single" w:color="auto" w:sz="2" w:space="0"/>
              <w:left w:val="single" w:color="auto" w:sz="2" w:space="0"/>
              <w:bottom w:val="single" w:color="auto" w:sz="4"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吨钢耗新水</w:t>
            </w:r>
          </w:p>
        </w:tc>
        <w:tc>
          <w:tcPr>
            <w:tcW w:w="1283" w:type="dxa"/>
            <w:tcBorders>
              <w:top w:val="single" w:color="auto" w:sz="2" w:space="0"/>
              <w:left w:val="single" w:color="auto" w:sz="2" w:space="0"/>
              <w:bottom w:val="single" w:color="auto" w:sz="4" w:space="0"/>
              <w:right w:val="single" w:color="auto" w:sz="2" w:space="0"/>
            </w:tcBorders>
            <w:tcMar>
              <w:top w:w="15" w:type="dxa"/>
              <w:left w:w="15" w:type="dxa"/>
              <w:bottom w:w="0" w:type="dxa"/>
              <w:right w:w="15" w:type="dxa"/>
            </w:tcMar>
            <w:vAlign w:val="center"/>
          </w:tcPr>
          <w:p>
            <w:pPr>
              <w:spacing w:line="250" w:lineRule="exact"/>
              <w:jc w:val="left"/>
              <w:rPr>
                <w:rFonts w:ascii="宋体" w:hAnsi="宋体" w:cs="宋体"/>
                <w:sz w:val="18"/>
                <w:szCs w:val="18"/>
              </w:rPr>
            </w:pPr>
            <w:r>
              <w:rPr>
                <w:rFonts w:hint="eastAsia" w:ascii="宋体" w:hAnsi="宋体" w:cs="宋体"/>
                <w:sz w:val="18"/>
                <w:szCs w:val="18"/>
              </w:rPr>
              <w:t>吨/吨</w:t>
            </w:r>
          </w:p>
        </w:tc>
        <w:tc>
          <w:tcPr>
            <w:tcW w:w="525" w:type="dxa"/>
            <w:tcBorders>
              <w:top w:val="single" w:color="auto" w:sz="2" w:space="0"/>
              <w:left w:val="single" w:color="auto" w:sz="2" w:space="0"/>
              <w:bottom w:val="single" w:color="auto" w:sz="4"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521" w:type="dxa"/>
            <w:tcBorders>
              <w:top w:val="single" w:color="auto" w:sz="2" w:space="0"/>
              <w:left w:val="single" w:color="auto" w:sz="2" w:space="0"/>
              <w:bottom w:val="single" w:color="auto" w:sz="4" w:space="0"/>
              <w:right w:val="single" w:color="auto" w:sz="2" w:space="0"/>
            </w:tcBorders>
            <w:tcMar>
              <w:top w:w="15" w:type="dxa"/>
              <w:left w:w="15" w:type="dxa"/>
              <w:bottom w:w="0" w:type="dxa"/>
              <w:right w:w="15" w:type="dxa"/>
            </w:tcMar>
            <w:vAlign w:val="center"/>
          </w:tcPr>
          <w:p>
            <w:pPr>
              <w:spacing w:line="25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4"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企业耗用新水量</w:t>
            </w:r>
          </w:p>
        </w:tc>
        <w:tc>
          <w:tcPr>
            <w:tcW w:w="1680" w:type="dxa"/>
            <w:tcBorders>
              <w:top w:val="single" w:color="auto" w:sz="2" w:space="0"/>
              <w:left w:val="single" w:color="auto" w:sz="2" w:space="0"/>
              <w:bottom w:val="single" w:color="auto" w:sz="4" w:space="0"/>
              <w:right w:val="single" w:color="auto" w:sz="2" w:space="0"/>
            </w:tcBorders>
            <w:tcMar>
              <w:top w:w="15" w:type="dxa"/>
              <w:left w:w="15" w:type="dxa"/>
              <w:bottom w:w="0" w:type="dxa"/>
              <w:right w:w="15" w:type="dxa"/>
            </w:tcMar>
            <w:vAlign w:val="center"/>
          </w:tcPr>
          <w:p>
            <w:pPr>
              <w:spacing w:line="250" w:lineRule="exact"/>
              <w:rPr>
                <w:rFonts w:ascii="宋体" w:hAnsi="宋体" w:cs="宋体"/>
                <w:sz w:val="18"/>
                <w:szCs w:val="18"/>
              </w:rPr>
            </w:pPr>
            <w:r>
              <w:rPr>
                <w:rFonts w:hint="eastAsia" w:ascii="宋体" w:hAnsi="宋体" w:cs="宋体"/>
                <w:sz w:val="18"/>
                <w:szCs w:val="18"/>
              </w:rPr>
              <w:t>企业粗钢合格产出量</w:t>
            </w:r>
          </w:p>
        </w:tc>
        <w:tc>
          <w:tcPr>
            <w:tcW w:w="715" w:type="dxa"/>
            <w:tcBorders>
              <w:top w:val="single" w:color="auto" w:sz="2" w:space="0"/>
              <w:left w:val="single" w:color="auto" w:sz="2" w:space="0"/>
              <w:bottom w:val="single" w:color="auto" w:sz="4" w:space="0"/>
              <w:right w:val="nil"/>
            </w:tcBorders>
            <w:tcMar>
              <w:top w:w="15" w:type="dxa"/>
              <w:left w:w="15" w:type="dxa"/>
              <w:bottom w:w="0" w:type="dxa"/>
              <w:right w:w="15" w:type="dxa"/>
            </w:tcMar>
            <w:vAlign w:val="center"/>
          </w:tcPr>
          <w:p>
            <w:pPr>
              <w:spacing w:line="250" w:lineRule="exact"/>
              <w:jc w:val="right"/>
              <w:rPr>
                <w:rFonts w:ascii="宋体" w:hAnsi="宋体" w:cs="宋体"/>
                <w:sz w:val="18"/>
                <w:szCs w:val="18"/>
              </w:rPr>
            </w:pPr>
            <w:r>
              <w:rPr>
                <w:rFonts w:ascii="宋体" w:hAnsi="宋体" w:cs="宋体"/>
                <w:sz w:val="18"/>
                <w:szCs w:val="18"/>
              </w:rPr>
              <w:t>1</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8" w:space="0"/>
              <w:left w:val="nil"/>
            </w:tcBorders>
            <w:tcMar>
              <w:top w:w="15" w:type="dxa"/>
              <w:left w:w="15" w:type="dxa"/>
              <w:bottom w:w="0" w:type="dxa"/>
              <w:right w:w="15" w:type="dxa"/>
            </w:tcMar>
            <w:vAlign w:val="center"/>
          </w:tcPr>
          <w:p>
            <w:pPr>
              <w:spacing w:line="260"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left w:val="nil"/>
              <w:bottom w:val="single" w:color="auto" w:sz="8" w:space="0"/>
            </w:tcBorders>
            <w:tcMar>
              <w:top w:w="15" w:type="dxa"/>
              <w:left w:w="15" w:type="dxa"/>
              <w:bottom w:w="0" w:type="dxa"/>
              <w:right w:w="15" w:type="dxa"/>
            </w:tcMar>
            <w:vAlign w:val="center"/>
          </w:tcPr>
          <w:p>
            <w:pPr>
              <w:spacing w:line="260"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559" w:type="dxa"/>
            <w:vMerge w:val="restart"/>
            <w:tcBorders>
              <w:top w:val="single" w:color="auto" w:sz="8"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代码</w:t>
            </w:r>
          </w:p>
        </w:tc>
        <w:tc>
          <w:tcPr>
            <w:tcW w:w="2268" w:type="dxa"/>
            <w:vMerge w:val="restart"/>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指标名称</w:t>
            </w:r>
          </w:p>
        </w:tc>
        <w:tc>
          <w:tcPr>
            <w:tcW w:w="2329" w:type="dxa"/>
            <w:gridSpan w:val="3"/>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计量单位</w:t>
            </w:r>
          </w:p>
        </w:tc>
        <w:tc>
          <w:tcPr>
            <w:tcW w:w="3594" w:type="dxa"/>
            <w:gridSpan w:val="2"/>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计算根据</w:t>
            </w:r>
          </w:p>
        </w:tc>
        <w:tc>
          <w:tcPr>
            <w:tcW w:w="715" w:type="dxa"/>
            <w:vMerge w:val="restart"/>
            <w:tcBorders>
              <w:top w:val="single" w:color="auto" w:sz="8"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单位换算系数</w:t>
            </w:r>
          </w:p>
        </w:tc>
      </w:tr>
      <w:tr>
        <w:tblPrEx>
          <w:tblLayout w:type="fixed"/>
          <w:tblCellMar>
            <w:top w:w="0" w:type="dxa"/>
            <w:left w:w="0" w:type="dxa"/>
            <w:bottom w:w="0" w:type="dxa"/>
            <w:right w:w="0" w:type="dxa"/>
          </w:tblCellMar>
        </w:tblPrEx>
        <w:trPr>
          <w:trHeight w:val="285" w:hRule="atLeast"/>
        </w:trPr>
        <w:tc>
          <w:tcPr>
            <w:tcW w:w="559" w:type="dxa"/>
            <w:vMerge w:val="continue"/>
            <w:tcBorders>
              <w:top w:val="single" w:color="auto" w:sz="2" w:space="0"/>
              <w:left w:val="nil"/>
              <w:bottom w:val="single" w:color="auto" w:sz="2" w:space="0"/>
              <w:right w:val="single" w:color="auto" w:sz="2" w:space="0"/>
            </w:tcBorders>
            <w:vAlign w:val="center"/>
          </w:tcPr>
          <w:p>
            <w:pPr>
              <w:spacing w:line="260" w:lineRule="exact"/>
              <w:jc w:val="center"/>
              <w:rPr>
                <w:rFonts w:ascii="宋体" w:hAnsi="宋体" w:cs="宋体"/>
                <w:sz w:val="18"/>
                <w:szCs w:val="18"/>
              </w:rPr>
            </w:pPr>
          </w:p>
        </w:tc>
        <w:tc>
          <w:tcPr>
            <w:tcW w:w="2268" w:type="dxa"/>
            <w:vMerge w:val="continue"/>
            <w:tcBorders>
              <w:top w:val="single" w:color="auto" w:sz="2" w:space="0"/>
              <w:left w:val="single" w:color="auto" w:sz="2" w:space="0"/>
              <w:bottom w:val="single" w:color="auto" w:sz="2" w:space="0"/>
              <w:right w:val="single" w:color="auto" w:sz="2" w:space="0"/>
            </w:tcBorders>
            <w:vAlign w:val="center"/>
          </w:tcPr>
          <w:p>
            <w:pPr>
              <w:spacing w:line="260" w:lineRule="exact"/>
              <w:rPr>
                <w:rFonts w:ascii="宋体" w:hAnsi="宋体" w:cs="宋体"/>
                <w:sz w:val="18"/>
                <w:szCs w:val="18"/>
              </w:rPr>
            </w:pP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指标</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子项</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母项</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子项</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母项</w:t>
            </w:r>
          </w:p>
        </w:tc>
        <w:tc>
          <w:tcPr>
            <w:tcW w:w="715" w:type="dxa"/>
            <w:vMerge w:val="continue"/>
            <w:tcBorders>
              <w:top w:val="single" w:color="auto" w:sz="2" w:space="0"/>
              <w:left w:val="single" w:color="auto" w:sz="2" w:space="0"/>
              <w:bottom w:val="single" w:color="auto" w:sz="2" w:space="0"/>
              <w:right w:val="nil"/>
            </w:tcBorders>
            <w:vAlign w:val="center"/>
          </w:tcPr>
          <w:p>
            <w:pPr>
              <w:spacing w:line="260" w:lineRule="exact"/>
              <w:rPr>
                <w:rFonts w:ascii="宋体" w:hAnsi="宋体" w:cs="宋体"/>
                <w:sz w:val="18"/>
                <w:szCs w:val="18"/>
              </w:rPr>
            </w:pP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tcBorders>
            <w:vAlign w:val="center"/>
          </w:tcPr>
          <w:p>
            <w:pPr>
              <w:spacing w:line="260" w:lineRule="exact"/>
              <w:rPr>
                <w:rFonts w:ascii="宋体" w:hAnsi="宋体" w:cs="宋体"/>
                <w:sz w:val="18"/>
                <w:szCs w:val="18"/>
              </w:rPr>
            </w:pPr>
            <w:r>
              <w:rPr>
                <w:rFonts w:hint="eastAsia" w:ascii="宋体" w:hAnsi="宋体" w:cs="宋体"/>
                <w:b/>
                <w:bCs/>
                <w:sz w:val="18"/>
                <w:szCs w:val="18"/>
              </w:rPr>
              <w:t>铜</w:t>
            </w:r>
            <w:r>
              <w:rPr>
                <w:rFonts w:ascii="宋体" w:hAnsi="宋体" w:cs="宋体"/>
                <w:b/>
                <w:bCs/>
                <w:sz w:val="18"/>
                <w:szCs w:val="18"/>
              </w:rPr>
              <w:t xml:space="preserve"> (32)</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60" w:lineRule="exact"/>
              <w:jc w:val="center"/>
              <w:rPr>
                <w:rFonts w:ascii="宋体" w:hAnsi="宋体" w:cs="宋体"/>
                <w:sz w:val="18"/>
                <w:szCs w:val="18"/>
              </w:rPr>
            </w:pPr>
            <w:r>
              <w:rPr>
                <w:rFonts w:ascii="宋体" w:hAnsi="宋体" w:cs="宋体"/>
                <w:sz w:val="18"/>
                <w:szCs w:val="18"/>
              </w:rPr>
              <w:t>3201</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宋体" w:hAnsi="宋体" w:cs="宋体"/>
                <w:sz w:val="18"/>
                <w:szCs w:val="18"/>
              </w:rPr>
            </w:pPr>
            <w:r>
              <w:rPr>
                <w:rFonts w:hint="eastAsia" w:ascii="宋体" w:hAnsi="宋体" w:cs="宋体"/>
                <w:sz w:val="18"/>
                <w:szCs w:val="18"/>
              </w:rPr>
              <w:t>单位粗铜综合能耗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粗铜综合能源消费量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矿产粗铜产量</w:t>
            </w:r>
          </w:p>
        </w:tc>
        <w:tc>
          <w:tcPr>
            <w:tcW w:w="715" w:type="dxa"/>
            <w:tcBorders>
              <w:top w:val="single" w:color="auto" w:sz="2" w:space="0"/>
              <w:left w:val="single" w:color="auto" w:sz="2" w:space="0"/>
              <w:bottom w:val="single" w:color="auto" w:sz="2" w:space="0"/>
              <w:right w:val="nil"/>
            </w:tcBorders>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60" w:lineRule="exact"/>
              <w:jc w:val="center"/>
              <w:rPr>
                <w:rFonts w:ascii="宋体" w:hAnsi="宋体" w:cs="宋体"/>
                <w:sz w:val="18"/>
                <w:szCs w:val="18"/>
              </w:rPr>
            </w:pPr>
            <w:r>
              <w:rPr>
                <w:rFonts w:ascii="宋体" w:hAnsi="宋体" w:cs="宋体"/>
                <w:sz w:val="18"/>
                <w:szCs w:val="18"/>
              </w:rPr>
              <w:t>3220</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宋体" w:hAnsi="宋体" w:cs="宋体"/>
                <w:sz w:val="18"/>
                <w:szCs w:val="18"/>
              </w:rPr>
            </w:pPr>
            <w:r>
              <w:rPr>
                <w:rFonts w:hint="eastAsia" w:ascii="宋体" w:hAnsi="宋体" w:cs="宋体"/>
                <w:sz w:val="18"/>
                <w:szCs w:val="18"/>
              </w:rPr>
              <w:t>单位铜精炼综合能耗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粗铜到精炼铜(电解铜)消耗的能源总量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精炼铜(电解铜)产量</w:t>
            </w:r>
          </w:p>
        </w:tc>
        <w:tc>
          <w:tcPr>
            <w:tcW w:w="715" w:type="dxa"/>
            <w:tcBorders>
              <w:top w:val="single" w:color="auto" w:sz="2" w:space="0"/>
              <w:left w:val="single" w:color="auto" w:sz="2" w:space="0"/>
              <w:bottom w:val="single" w:color="auto" w:sz="2" w:space="0"/>
              <w:right w:val="nil"/>
            </w:tcBorders>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60" w:lineRule="exact"/>
              <w:jc w:val="center"/>
              <w:rPr>
                <w:rFonts w:ascii="宋体" w:hAnsi="宋体" w:cs="宋体"/>
                <w:sz w:val="18"/>
                <w:szCs w:val="18"/>
              </w:rPr>
            </w:pPr>
            <w:r>
              <w:rPr>
                <w:rFonts w:ascii="宋体" w:hAnsi="宋体" w:cs="宋体"/>
                <w:sz w:val="18"/>
                <w:szCs w:val="18"/>
              </w:rPr>
              <w:t>3202</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宋体" w:hAnsi="宋体" w:cs="宋体"/>
                <w:sz w:val="18"/>
                <w:szCs w:val="18"/>
              </w:rPr>
            </w:pPr>
            <w:r>
              <w:rPr>
                <w:rFonts w:hint="eastAsia" w:ascii="宋体" w:hAnsi="宋体" w:cs="宋体"/>
                <w:sz w:val="18"/>
                <w:szCs w:val="18"/>
              </w:rPr>
              <w:t>单位铜冶炼综合能耗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铜冶炼各工序综合能源消费量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精炼铜(电解铜)产量</w:t>
            </w:r>
          </w:p>
        </w:tc>
        <w:tc>
          <w:tcPr>
            <w:tcW w:w="715" w:type="dxa"/>
            <w:tcBorders>
              <w:top w:val="single" w:color="auto" w:sz="2" w:space="0"/>
              <w:left w:val="single" w:color="auto" w:sz="2" w:space="0"/>
              <w:bottom w:val="single" w:color="auto" w:sz="2" w:space="0"/>
              <w:right w:val="nil"/>
            </w:tcBorders>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60" w:lineRule="exact"/>
              <w:jc w:val="center"/>
              <w:rPr>
                <w:rFonts w:ascii="宋体" w:hAnsi="宋体" w:cs="宋体"/>
                <w:sz w:val="18"/>
                <w:szCs w:val="18"/>
              </w:rPr>
            </w:pPr>
            <w:r>
              <w:rPr>
                <w:rFonts w:ascii="宋体" w:hAnsi="宋体" w:cs="宋体"/>
                <w:sz w:val="18"/>
                <w:szCs w:val="18"/>
              </w:rPr>
              <w:t>3203</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宋体" w:hAnsi="宋体" w:cs="宋体"/>
                <w:sz w:val="18"/>
                <w:szCs w:val="18"/>
              </w:rPr>
            </w:pPr>
            <w:r>
              <w:rPr>
                <w:rFonts w:hint="eastAsia" w:ascii="宋体" w:hAnsi="宋体" w:cs="宋体"/>
                <w:sz w:val="18"/>
                <w:szCs w:val="18"/>
              </w:rPr>
              <w:t>铜电解直流电单耗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精炼铜(电解铜)消耗的直流电量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精炼铜(电解铜)产量</w:t>
            </w:r>
          </w:p>
        </w:tc>
        <w:tc>
          <w:tcPr>
            <w:tcW w:w="715" w:type="dxa"/>
            <w:tcBorders>
              <w:top w:val="single" w:color="auto" w:sz="2" w:space="0"/>
              <w:left w:val="single" w:color="auto" w:sz="2" w:space="0"/>
              <w:bottom w:val="single" w:color="auto" w:sz="2" w:space="0"/>
              <w:right w:val="nil"/>
            </w:tcBorders>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tcBorders>
            <w:vAlign w:val="center"/>
          </w:tcPr>
          <w:p>
            <w:pPr>
              <w:spacing w:line="260" w:lineRule="exact"/>
              <w:rPr>
                <w:rFonts w:ascii="宋体" w:hAnsi="宋体" w:cs="宋体"/>
                <w:sz w:val="18"/>
                <w:szCs w:val="18"/>
              </w:rPr>
            </w:pPr>
            <w:r>
              <w:rPr>
                <w:rFonts w:hint="eastAsia" w:ascii="宋体" w:hAnsi="宋体" w:cs="宋体"/>
                <w:b/>
                <w:bCs/>
                <w:sz w:val="18"/>
                <w:szCs w:val="18"/>
              </w:rPr>
              <w:t>铝(32)</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60" w:lineRule="exact"/>
              <w:jc w:val="center"/>
              <w:rPr>
                <w:rFonts w:ascii="宋体" w:hAnsi="宋体" w:cs="宋体"/>
                <w:sz w:val="18"/>
                <w:szCs w:val="18"/>
              </w:rPr>
            </w:pPr>
            <w:r>
              <w:rPr>
                <w:rFonts w:ascii="宋体" w:hAnsi="宋体" w:cs="宋体"/>
                <w:sz w:val="18"/>
                <w:szCs w:val="18"/>
              </w:rPr>
              <w:t>3204</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宋体" w:hAnsi="宋体" w:cs="宋体"/>
                <w:sz w:val="18"/>
                <w:szCs w:val="18"/>
              </w:rPr>
            </w:pPr>
            <w:r>
              <w:rPr>
                <w:rFonts w:hint="eastAsia" w:ascii="宋体" w:hAnsi="宋体" w:cs="宋体"/>
                <w:sz w:val="18"/>
                <w:szCs w:val="18"/>
              </w:rPr>
              <w:t>单位氧化铝综合能耗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氧化铝生产综合能源消费量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实产氧化铝产量</w:t>
            </w:r>
          </w:p>
        </w:tc>
        <w:tc>
          <w:tcPr>
            <w:tcW w:w="715" w:type="dxa"/>
            <w:tcBorders>
              <w:top w:val="single" w:color="auto" w:sz="2" w:space="0"/>
              <w:left w:val="single" w:color="auto" w:sz="2" w:space="0"/>
              <w:bottom w:val="single" w:color="auto" w:sz="2" w:space="0"/>
              <w:right w:val="nil"/>
            </w:tcBorders>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285" w:hRule="atLeast"/>
        </w:trPr>
        <w:tc>
          <w:tcPr>
            <w:tcW w:w="559" w:type="dxa"/>
            <w:tcBorders>
              <w:top w:val="single" w:color="auto" w:sz="2" w:space="0"/>
              <w:left w:val="nil"/>
              <w:bottom w:val="single" w:color="auto" w:sz="2" w:space="0"/>
              <w:right w:val="single" w:color="auto" w:sz="2" w:space="0"/>
            </w:tcBorders>
            <w:vAlign w:val="center"/>
          </w:tcPr>
          <w:p>
            <w:pPr>
              <w:spacing w:line="260" w:lineRule="exact"/>
              <w:jc w:val="center"/>
              <w:rPr>
                <w:rFonts w:ascii="宋体" w:hAnsi="宋体" w:cs="宋体"/>
                <w:sz w:val="18"/>
                <w:szCs w:val="18"/>
              </w:rPr>
            </w:pPr>
            <w:r>
              <w:rPr>
                <w:rFonts w:ascii="宋体" w:hAnsi="宋体" w:cs="宋体"/>
                <w:sz w:val="18"/>
                <w:szCs w:val="18"/>
              </w:rPr>
              <w:t>3205</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宋体" w:hAnsi="宋体" w:cs="宋体"/>
                <w:sz w:val="18"/>
                <w:szCs w:val="18"/>
              </w:rPr>
            </w:pPr>
            <w:r>
              <w:rPr>
                <w:rFonts w:hint="eastAsia" w:ascii="宋体" w:hAnsi="宋体" w:cs="宋体"/>
                <w:sz w:val="18"/>
                <w:szCs w:val="18"/>
              </w:rPr>
              <w:t>单位电解铝综合能耗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全厂综合能源消费量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合格交库原铝(电解铝)产量</w:t>
            </w:r>
          </w:p>
        </w:tc>
        <w:tc>
          <w:tcPr>
            <w:tcW w:w="715" w:type="dxa"/>
            <w:tcBorders>
              <w:top w:val="single" w:color="auto" w:sz="2" w:space="0"/>
              <w:left w:val="single" w:color="auto" w:sz="2" w:space="0"/>
              <w:bottom w:val="single" w:color="auto" w:sz="2" w:space="0"/>
              <w:right w:val="nil"/>
            </w:tcBorders>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3206</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单位铝锭综合交流电耗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铝锭交流电消耗总量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合格交库铝锭产量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60" w:lineRule="exact"/>
              <w:jc w:val="left"/>
              <w:rPr>
                <w:rFonts w:ascii="宋体" w:hAnsi="宋体" w:cs="宋体"/>
                <w:b/>
                <w:bCs/>
                <w:sz w:val="18"/>
                <w:szCs w:val="18"/>
              </w:rPr>
            </w:pPr>
            <w:r>
              <w:rPr>
                <w:rFonts w:hint="eastAsia" w:ascii="宋体" w:hAnsi="宋体" w:cs="宋体"/>
                <w:b/>
                <w:bCs/>
                <w:sz w:val="18"/>
                <w:szCs w:val="18"/>
              </w:rPr>
              <w:t>铅锌(32)</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3207</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单位粗铅综合能耗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粗铅综合能源消费量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合格交库粗铅产出量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3208</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单位铅冶炼综合能耗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铅产品能源消耗总量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合格交库铅产量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3209</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析出铅直流电单耗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直流电消耗总量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实际析出铅产量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3210</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蒸镏锌综合标准煤耗单耗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蒸镏锌综合标准煤消耗总量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合格蒸镏锌产量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3211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单位精锌（电锌）综合能耗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精锌(电锌)品能源消耗总量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合格交库精锌(电锌)产量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3212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析出锌（湿法）直流电单耗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直流电消耗总量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实际析出锌产量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00"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60" w:lineRule="exact"/>
              <w:jc w:val="left"/>
              <w:rPr>
                <w:rFonts w:ascii="宋体" w:hAnsi="宋体" w:cs="宋体"/>
                <w:b/>
                <w:bCs/>
                <w:sz w:val="18"/>
                <w:szCs w:val="18"/>
              </w:rPr>
            </w:pPr>
            <w:r>
              <w:rPr>
                <w:rFonts w:hint="eastAsia" w:ascii="宋体" w:hAnsi="宋体" w:cs="宋体"/>
                <w:b/>
                <w:bCs/>
                <w:sz w:val="18"/>
                <w:szCs w:val="18"/>
              </w:rPr>
              <w:t>有色金属材(32)</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3214</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吨铜加工材消耗能源量</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铜加工材能源消耗总量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合格交库铜材产量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3213</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吨铜加工材消耗电量</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铜加工材用电消耗总量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合格交库铜材产量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3216</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吨铝加工材消耗能源量</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千克标准煤/吨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铝加工材能源消耗总量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合格交库铝材产量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w:t>
            </w:r>
          </w:p>
        </w:tc>
      </w:tr>
      <w:tr>
        <w:tblPrEx>
          <w:tblLayout w:type="fixed"/>
          <w:tblCellMar>
            <w:top w:w="0" w:type="dxa"/>
            <w:left w:w="0" w:type="dxa"/>
            <w:bottom w:w="0" w:type="dxa"/>
            <w:right w:w="0" w:type="dxa"/>
          </w:tblCellMar>
        </w:tblPrEx>
        <w:trPr>
          <w:trHeight w:val="315"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3215</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吨铝加工材消耗电量</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千瓦时/吨</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铝加工材用电消耗总量</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合格交库铝材产量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10000</w:t>
            </w:r>
          </w:p>
        </w:tc>
      </w:tr>
      <w:tr>
        <w:tblPrEx>
          <w:tblLayout w:type="fixed"/>
          <w:tblCellMar>
            <w:top w:w="0" w:type="dxa"/>
            <w:left w:w="0" w:type="dxa"/>
            <w:bottom w:w="0" w:type="dxa"/>
            <w:right w:w="0" w:type="dxa"/>
          </w:tblCellMar>
        </w:tblPrEx>
        <w:trPr>
          <w:trHeight w:val="285" w:hRule="atLeast"/>
        </w:trPr>
        <w:tc>
          <w:tcPr>
            <w:tcW w:w="9465" w:type="dxa"/>
            <w:gridSpan w:val="8"/>
            <w:tcBorders>
              <w:top w:val="single" w:color="auto" w:sz="2" w:space="0"/>
              <w:left w:val="nil"/>
              <w:bottom w:val="single" w:color="auto" w:sz="2" w:space="0"/>
              <w:right w:val="nil"/>
            </w:tcBorders>
            <w:tcMar>
              <w:top w:w="15" w:type="dxa"/>
              <w:left w:w="15" w:type="dxa"/>
              <w:bottom w:w="0" w:type="dxa"/>
              <w:right w:w="15" w:type="dxa"/>
            </w:tcMar>
            <w:vAlign w:val="center"/>
          </w:tcPr>
          <w:p>
            <w:pPr>
              <w:spacing w:line="260" w:lineRule="exact"/>
              <w:jc w:val="left"/>
              <w:rPr>
                <w:rFonts w:ascii="宋体" w:hAnsi="宋体" w:cs="宋体"/>
                <w:b/>
                <w:bCs/>
                <w:sz w:val="18"/>
                <w:szCs w:val="18"/>
              </w:rPr>
            </w:pPr>
            <w:r>
              <w:rPr>
                <w:rFonts w:hint="eastAsia" w:ascii="宋体" w:hAnsi="宋体" w:cs="宋体"/>
                <w:b/>
                <w:bCs/>
                <w:sz w:val="18"/>
                <w:szCs w:val="18"/>
              </w:rPr>
              <w:t xml:space="preserve">火力发电(44) </w:t>
            </w:r>
          </w:p>
        </w:tc>
      </w:tr>
      <w:tr>
        <w:tblPrEx>
          <w:tblLayout w:type="fixed"/>
          <w:tblCellMar>
            <w:top w:w="0" w:type="dxa"/>
            <w:left w:w="0" w:type="dxa"/>
            <w:bottom w:w="0" w:type="dxa"/>
            <w:right w:w="0" w:type="dxa"/>
          </w:tblCellMar>
        </w:tblPrEx>
        <w:trPr>
          <w:trHeight w:val="48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4401</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电厂火力发电标准煤耗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克标准煤/千瓦时</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发电耗用标准煤量(不含试运行期间发生的燃料消耗)</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火力发电量(不含试运行电量)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w:t>
            </w:r>
          </w:p>
        </w:tc>
      </w:tr>
      <w:tr>
        <w:tblPrEx>
          <w:tblLayout w:type="fixed"/>
          <w:tblCellMar>
            <w:top w:w="0" w:type="dxa"/>
            <w:left w:w="0" w:type="dxa"/>
            <w:bottom w:w="0" w:type="dxa"/>
            <w:right w:w="0" w:type="dxa"/>
          </w:tblCellMar>
        </w:tblPrEx>
        <w:trPr>
          <w:trHeight w:val="480" w:hRule="atLeast"/>
        </w:trPr>
        <w:tc>
          <w:tcPr>
            <w:tcW w:w="559" w:type="dxa"/>
            <w:tcBorders>
              <w:top w:val="single" w:color="auto" w:sz="2" w:space="0"/>
              <w:left w:val="nil"/>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4402</w:t>
            </w:r>
          </w:p>
        </w:tc>
        <w:tc>
          <w:tcPr>
            <w:tcW w:w="226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电厂火力供电标准煤耗</w:t>
            </w:r>
          </w:p>
        </w:tc>
        <w:tc>
          <w:tcPr>
            <w:tcW w:w="128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hint="eastAsia" w:ascii="宋体" w:hAnsi="宋体" w:cs="宋体"/>
                <w:sz w:val="18"/>
                <w:szCs w:val="18"/>
              </w:rPr>
              <w:t>克标准煤/千瓦时</w:t>
            </w:r>
          </w:p>
        </w:tc>
        <w:tc>
          <w:tcPr>
            <w:tcW w:w="525"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吨标准煤</w:t>
            </w:r>
          </w:p>
        </w:tc>
        <w:tc>
          <w:tcPr>
            <w:tcW w:w="521"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pStyle w:val="13"/>
              <w:tabs>
                <w:tab w:val="clear" w:pos="4153"/>
                <w:tab w:val="clear" w:pos="8306"/>
              </w:tabs>
              <w:snapToGrid/>
              <w:spacing w:line="260" w:lineRule="exact"/>
              <w:jc w:val="center"/>
              <w:rPr>
                <w:rFonts w:ascii="宋体" w:hAnsi="宋体" w:cs="宋体"/>
              </w:rPr>
            </w:pPr>
            <w:r>
              <w:rPr>
                <w:rFonts w:hint="eastAsia" w:ascii="宋体" w:hAnsi="宋体" w:cs="宋体"/>
                <w:sz w:val="18"/>
                <w:szCs w:val="18"/>
              </w:rPr>
              <w:t>万千瓦时</w:t>
            </w:r>
          </w:p>
        </w:tc>
        <w:tc>
          <w:tcPr>
            <w:tcW w:w="1914"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发电耗用标准煤量(不含试运行期间发生的燃料消耗)</w:t>
            </w:r>
          </w:p>
        </w:tc>
        <w:tc>
          <w:tcPr>
            <w:tcW w:w="1680"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火力供电量(不含试运行电量)=发电量-厂用电量</w:t>
            </w:r>
          </w:p>
        </w:tc>
        <w:tc>
          <w:tcPr>
            <w:tcW w:w="715" w:type="dxa"/>
            <w:tcBorders>
              <w:top w:val="single" w:color="auto" w:sz="2" w:space="0"/>
              <w:left w:val="single" w:color="auto" w:sz="2" w:space="0"/>
              <w:bottom w:val="single" w:color="auto" w:sz="2"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w:t>
            </w:r>
          </w:p>
        </w:tc>
      </w:tr>
      <w:tr>
        <w:tblPrEx>
          <w:tblLayout w:type="fixed"/>
          <w:tblCellMar>
            <w:top w:w="0" w:type="dxa"/>
            <w:left w:w="0" w:type="dxa"/>
            <w:bottom w:w="0" w:type="dxa"/>
            <w:right w:w="0" w:type="dxa"/>
          </w:tblCellMar>
        </w:tblPrEx>
        <w:trPr>
          <w:trHeight w:val="609" w:hRule="atLeast"/>
        </w:trPr>
        <w:tc>
          <w:tcPr>
            <w:tcW w:w="559" w:type="dxa"/>
            <w:tcBorders>
              <w:top w:val="single" w:color="auto" w:sz="2" w:space="0"/>
              <w:left w:val="nil"/>
              <w:bottom w:val="single" w:color="auto" w:sz="8"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ascii="宋体" w:hAnsi="宋体" w:cs="宋体"/>
                <w:sz w:val="18"/>
                <w:szCs w:val="18"/>
              </w:rPr>
              <w:t>4403</w:t>
            </w:r>
          </w:p>
        </w:tc>
        <w:tc>
          <w:tcPr>
            <w:tcW w:w="2268"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发电厂用电率</w:t>
            </w:r>
          </w:p>
        </w:tc>
        <w:tc>
          <w:tcPr>
            <w:tcW w:w="1283"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spacing w:line="260" w:lineRule="exact"/>
              <w:jc w:val="left"/>
              <w:rPr>
                <w:rFonts w:ascii="宋体" w:hAnsi="宋体" w:cs="宋体"/>
                <w:sz w:val="18"/>
                <w:szCs w:val="18"/>
              </w:rPr>
            </w:pPr>
            <w:r>
              <w:rPr>
                <w:rFonts w:ascii="宋体" w:hAnsi="宋体" w:cs="宋体"/>
                <w:sz w:val="18"/>
                <w:szCs w:val="18"/>
              </w:rPr>
              <w:t>%</w:t>
            </w:r>
          </w:p>
        </w:tc>
        <w:tc>
          <w:tcPr>
            <w:tcW w:w="525"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521"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万千瓦时</w:t>
            </w:r>
          </w:p>
        </w:tc>
        <w:tc>
          <w:tcPr>
            <w:tcW w:w="1914"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发电厂厂用电量(不含试运行电量)</w:t>
            </w:r>
          </w:p>
        </w:tc>
        <w:tc>
          <w:tcPr>
            <w:tcW w:w="1680"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spacing w:line="260" w:lineRule="exact"/>
              <w:rPr>
                <w:rFonts w:ascii="宋体" w:hAnsi="宋体" w:cs="宋体"/>
                <w:sz w:val="18"/>
                <w:szCs w:val="18"/>
              </w:rPr>
            </w:pPr>
            <w:r>
              <w:rPr>
                <w:rFonts w:hint="eastAsia" w:ascii="宋体" w:hAnsi="宋体" w:cs="宋体"/>
                <w:sz w:val="18"/>
                <w:szCs w:val="18"/>
              </w:rPr>
              <w:t>发电量(不含试运行电量)</w:t>
            </w:r>
          </w:p>
        </w:tc>
        <w:tc>
          <w:tcPr>
            <w:tcW w:w="715" w:type="dxa"/>
            <w:tcBorders>
              <w:top w:val="single" w:color="auto" w:sz="2" w:space="0"/>
              <w:left w:val="single" w:color="auto" w:sz="2" w:space="0"/>
              <w:bottom w:val="single" w:color="auto" w:sz="8" w:space="0"/>
              <w:right w:val="nil"/>
            </w:tcBorders>
            <w:tcMar>
              <w:top w:w="15" w:type="dxa"/>
              <w:left w:w="15" w:type="dxa"/>
              <w:bottom w:w="0" w:type="dxa"/>
              <w:right w:w="15" w:type="dxa"/>
            </w:tcMar>
            <w:vAlign w:val="center"/>
          </w:tcPr>
          <w:p>
            <w:pPr>
              <w:spacing w:line="260" w:lineRule="exact"/>
              <w:jc w:val="right"/>
              <w:rPr>
                <w:rFonts w:ascii="宋体" w:hAnsi="宋体" w:cs="宋体"/>
                <w:sz w:val="18"/>
                <w:szCs w:val="18"/>
              </w:rPr>
            </w:pPr>
            <w:r>
              <w:rPr>
                <w:rFonts w:ascii="宋体" w:hAnsi="宋体" w:cs="宋体"/>
                <w:sz w:val="18"/>
                <w:szCs w:val="18"/>
              </w:rPr>
              <w:t>100</w:t>
            </w:r>
          </w:p>
        </w:tc>
      </w:tr>
    </w:tbl>
    <w:p>
      <w:pPr>
        <w:snapToGrid w:val="0"/>
        <w:spacing w:beforeLines="100" w:afterLines="100"/>
        <w:jc w:val="center"/>
        <w:outlineLvl w:val="1"/>
        <w:rPr>
          <w:rFonts w:eastAsia="黑体"/>
          <w:sz w:val="28"/>
          <w:szCs w:val="28"/>
        </w:rPr>
      </w:pPr>
      <w:r>
        <w:br w:type="page"/>
      </w:r>
      <w:r>
        <w:rPr>
          <w:rFonts w:eastAsia="黑体"/>
          <w:sz w:val="28"/>
          <w:szCs w:val="28"/>
        </w:rPr>
        <w:t>（三）能源生产、销售与库存目录(205-6表)</w:t>
      </w:r>
    </w:p>
    <w:tbl>
      <w:tblPr>
        <w:tblStyle w:val="25"/>
        <w:tblW w:w="955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2529"/>
        <w:gridCol w:w="1139"/>
        <w:gridCol w:w="1137"/>
        <w:gridCol w:w="2490"/>
        <w:gridCol w:w="1131"/>
        <w:gridCol w:w="1130"/>
      </w:tblGrid>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0" w:hRule="atLeast"/>
          <w:jc w:val="center"/>
        </w:trPr>
        <w:tc>
          <w:tcPr>
            <w:tcW w:w="2529" w:type="dxa"/>
            <w:tcBorders>
              <w:top w:val="single" w:color="auto" w:sz="8" w:space="0"/>
              <w:bottom w:val="single" w:color="auto" w:sz="2" w:space="0"/>
            </w:tcBorders>
            <w:tcMar>
              <w:left w:w="28" w:type="dxa"/>
              <w:right w:w="28" w:type="dxa"/>
            </w:tcMar>
            <w:vAlign w:val="center"/>
          </w:tcPr>
          <w:p>
            <w:pPr>
              <w:widowControl/>
              <w:jc w:val="center"/>
              <w:rPr>
                <w:rFonts w:ascii="宋体" w:hAnsi="宋体"/>
                <w:kern w:val="0"/>
                <w:sz w:val="18"/>
                <w:szCs w:val="18"/>
              </w:rPr>
            </w:pPr>
            <w:r>
              <w:rPr>
                <w:rFonts w:ascii="宋体" w:hAnsi="宋体"/>
                <w:kern w:val="0"/>
                <w:sz w:val="18"/>
                <w:szCs w:val="18"/>
              </w:rPr>
              <w:t>能源名称</w:t>
            </w:r>
          </w:p>
        </w:tc>
        <w:tc>
          <w:tcPr>
            <w:tcW w:w="1139" w:type="dxa"/>
            <w:tcBorders>
              <w:top w:val="single" w:color="auto" w:sz="8" w:space="0"/>
              <w:bottom w:val="single" w:color="auto" w:sz="2" w:space="0"/>
            </w:tcBorders>
            <w:tcMar>
              <w:left w:w="28" w:type="dxa"/>
              <w:right w:w="28" w:type="dxa"/>
            </w:tcMar>
            <w:vAlign w:val="center"/>
          </w:tcPr>
          <w:p>
            <w:pPr>
              <w:widowControl/>
              <w:jc w:val="center"/>
              <w:rPr>
                <w:rFonts w:ascii="宋体" w:hAnsi="宋体"/>
                <w:kern w:val="0"/>
                <w:sz w:val="18"/>
                <w:szCs w:val="18"/>
              </w:rPr>
            </w:pPr>
            <w:r>
              <w:rPr>
                <w:rFonts w:ascii="宋体" w:hAnsi="宋体"/>
                <w:kern w:val="0"/>
                <w:sz w:val="18"/>
                <w:szCs w:val="18"/>
              </w:rPr>
              <w:t>计量单位</w:t>
            </w:r>
          </w:p>
        </w:tc>
        <w:tc>
          <w:tcPr>
            <w:tcW w:w="1137" w:type="dxa"/>
            <w:tcBorders>
              <w:top w:val="single" w:color="auto" w:sz="8" w:space="0"/>
              <w:bottom w:val="single" w:color="auto" w:sz="2" w:space="0"/>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kern w:val="0"/>
                <w:sz w:val="18"/>
                <w:szCs w:val="18"/>
              </w:rPr>
              <w:t>代码</w:t>
            </w:r>
          </w:p>
        </w:tc>
        <w:tc>
          <w:tcPr>
            <w:tcW w:w="2490" w:type="dxa"/>
            <w:tcBorders>
              <w:top w:val="single" w:color="auto" w:sz="8" w:space="0"/>
              <w:left w:val="double" w:color="auto" w:sz="4" w:space="0"/>
              <w:bottom w:val="single" w:color="auto" w:sz="2" w:space="0"/>
            </w:tcBorders>
            <w:vAlign w:val="center"/>
          </w:tcPr>
          <w:p>
            <w:pPr>
              <w:widowControl/>
              <w:jc w:val="center"/>
              <w:rPr>
                <w:rFonts w:ascii="宋体" w:hAnsi="宋体"/>
                <w:kern w:val="0"/>
                <w:sz w:val="18"/>
                <w:szCs w:val="18"/>
              </w:rPr>
            </w:pPr>
            <w:r>
              <w:rPr>
                <w:rFonts w:ascii="宋体" w:hAnsi="宋体"/>
                <w:kern w:val="0"/>
                <w:sz w:val="18"/>
                <w:szCs w:val="18"/>
              </w:rPr>
              <w:t>能源名称</w:t>
            </w:r>
          </w:p>
        </w:tc>
        <w:tc>
          <w:tcPr>
            <w:tcW w:w="1131" w:type="dxa"/>
            <w:tcBorders>
              <w:top w:val="single" w:color="auto" w:sz="8" w:space="0"/>
              <w:bottom w:val="single" w:color="auto" w:sz="2" w:space="0"/>
            </w:tcBorders>
            <w:vAlign w:val="center"/>
          </w:tcPr>
          <w:p>
            <w:pPr>
              <w:widowControl/>
              <w:jc w:val="center"/>
              <w:rPr>
                <w:rFonts w:ascii="宋体" w:hAnsi="宋体"/>
                <w:kern w:val="0"/>
                <w:sz w:val="18"/>
                <w:szCs w:val="18"/>
              </w:rPr>
            </w:pPr>
            <w:r>
              <w:rPr>
                <w:rFonts w:ascii="宋体" w:hAnsi="宋体"/>
                <w:kern w:val="0"/>
                <w:sz w:val="18"/>
                <w:szCs w:val="18"/>
              </w:rPr>
              <w:t>计量单位</w:t>
            </w:r>
          </w:p>
        </w:tc>
        <w:tc>
          <w:tcPr>
            <w:tcW w:w="1130" w:type="dxa"/>
            <w:tcBorders>
              <w:top w:val="single" w:color="auto" w:sz="8" w:space="0"/>
              <w:bottom w:val="single" w:color="auto" w:sz="2" w:space="0"/>
            </w:tcBorders>
            <w:vAlign w:val="center"/>
          </w:tcPr>
          <w:p>
            <w:pPr>
              <w:widowControl/>
              <w:jc w:val="center"/>
              <w:rPr>
                <w:rFonts w:ascii="宋体" w:hAnsi="宋体"/>
                <w:kern w:val="0"/>
                <w:sz w:val="18"/>
                <w:szCs w:val="18"/>
              </w:rPr>
            </w:pPr>
            <w:r>
              <w:rPr>
                <w:rFonts w:ascii="宋体" w:hAnsi="宋体"/>
                <w:kern w:val="0"/>
                <w:sz w:val="18"/>
                <w:szCs w:val="18"/>
              </w:rPr>
              <w:t>代码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Borders>
              <w:top w:val="single" w:color="auto" w:sz="2" w:space="0"/>
            </w:tcBorders>
            <w:tcMar>
              <w:left w:w="28" w:type="dxa"/>
              <w:right w:w="28" w:type="dxa"/>
            </w:tcMar>
            <w:vAlign w:val="center"/>
          </w:tcPr>
          <w:p>
            <w:pPr>
              <w:widowControl/>
              <w:rPr>
                <w:rFonts w:ascii="宋体" w:hAnsi="宋体"/>
                <w:kern w:val="0"/>
                <w:sz w:val="18"/>
                <w:szCs w:val="18"/>
              </w:rPr>
            </w:pPr>
            <w:r>
              <w:rPr>
                <w:rFonts w:hint="eastAsia" w:ascii="宋体" w:hAnsi="宋体"/>
                <w:sz w:val="18"/>
                <w:szCs w:val="18"/>
              </w:rPr>
              <w:t>煤炭及煤炭制品</w:t>
            </w:r>
          </w:p>
        </w:tc>
        <w:tc>
          <w:tcPr>
            <w:tcW w:w="1139" w:type="dxa"/>
            <w:tcBorders>
              <w:top w:val="single" w:color="auto" w:sz="2"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37" w:type="dxa"/>
            <w:tcBorders>
              <w:top w:val="single" w:color="auto" w:sz="2" w:space="0"/>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0600000000</w:t>
            </w:r>
          </w:p>
        </w:tc>
        <w:tc>
          <w:tcPr>
            <w:tcW w:w="2490" w:type="dxa"/>
            <w:tcBorders>
              <w:top w:val="single" w:color="auto" w:sz="2" w:space="0"/>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石油焦</w:t>
            </w:r>
          </w:p>
        </w:tc>
        <w:tc>
          <w:tcPr>
            <w:tcW w:w="1131" w:type="dxa"/>
            <w:tcBorders>
              <w:top w:val="single" w:color="auto" w:sz="2" w:space="0"/>
            </w:tcBorders>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tcBorders>
              <w:top w:val="single" w:color="auto" w:sz="2" w:space="0"/>
            </w:tcBorders>
            <w:vAlign w:val="center"/>
          </w:tcPr>
          <w:p>
            <w:pPr>
              <w:widowControl/>
              <w:jc w:val="center"/>
              <w:rPr>
                <w:rFonts w:ascii="宋体" w:hAnsi="宋体"/>
                <w:kern w:val="0"/>
                <w:sz w:val="18"/>
                <w:szCs w:val="18"/>
              </w:rPr>
            </w:pPr>
            <w:r>
              <w:rPr>
                <w:rFonts w:ascii="宋体" w:hAnsi="宋体"/>
                <w:sz w:val="18"/>
                <w:szCs w:val="18"/>
              </w:rPr>
              <w:t>2504011002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原煤</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0601000000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石油沥青</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2504011003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无烟煤</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0601010000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燃料气</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2502110000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炼焦烟煤</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0601020100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其中：液化石油气</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2502110100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　一般烟煤</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0601020200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炼厂干气</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2502140000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褐煤</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0601030000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其他石油制品</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2502990000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煤炭制品</w:t>
            </w:r>
          </w:p>
        </w:tc>
        <w:tc>
          <w:tcPr>
            <w:tcW w:w="1139" w:type="dxa"/>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2524000000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生物质能</w:t>
            </w:r>
          </w:p>
        </w:tc>
        <w:tc>
          <w:tcPr>
            <w:tcW w:w="1131" w:type="dxa"/>
            <w:vAlign w:val="center"/>
          </w:tcPr>
          <w:p>
            <w:pPr>
              <w:widowControl/>
              <w:jc w:val="center"/>
              <w:rPr>
                <w:rFonts w:ascii="宋体" w:hAnsi="宋体"/>
                <w:kern w:val="0"/>
                <w:sz w:val="18"/>
                <w:szCs w:val="18"/>
              </w:rPr>
            </w:pPr>
            <w:r>
              <w:rPr>
                <w:rFonts w:ascii="宋体" w:hAnsi="宋体"/>
                <w:sz w:val="18"/>
                <w:szCs w:val="18"/>
              </w:rPr>
              <w:t>-</w:t>
            </w:r>
          </w:p>
        </w:tc>
        <w:tc>
          <w:tcPr>
            <w:tcW w:w="1130" w:type="dxa"/>
            <w:vAlign w:val="center"/>
          </w:tcPr>
          <w:p>
            <w:pPr>
              <w:widowControl/>
              <w:jc w:val="center"/>
              <w:rPr>
                <w:rFonts w:ascii="宋体" w:hAnsi="宋体"/>
                <w:kern w:val="0"/>
                <w:sz w:val="18"/>
                <w:szCs w:val="18"/>
              </w:rPr>
            </w:pPr>
            <w:r>
              <w:rPr>
                <w:rFonts w:ascii="宋体" w:hAnsi="宋体"/>
                <w:sz w:val="18"/>
                <w:szCs w:val="18"/>
              </w:rPr>
              <w:t>2540000000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洗精煤（用于炼焦）</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0602010000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固态生物燃料</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2542000000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其他洗煤</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0602070000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液态生物燃料</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2541000000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焦炭</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2504011001</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生物乙醇</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1501020300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型煤及其他煤制品</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2524010000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生物柴油</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2503030101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 xml:space="preserve">  煤焦油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2521020000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生物航空煤油</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2541030000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 xml:space="preserve">  煤气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4501000000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其他液态生物燃料</w:t>
            </w:r>
          </w:p>
        </w:tc>
        <w:tc>
          <w:tcPr>
            <w:tcW w:w="1131" w:type="dxa"/>
            <w:vAlign w:val="center"/>
          </w:tcPr>
          <w:p>
            <w:pPr>
              <w:widowControl/>
              <w:jc w:val="center"/>
              <w:rPr>
                <w:rFonts w:ascii="宋体" w:hAnsi="宋体"/>
                <w:kern w:val="0"/>
                <w:sz w:val="18"/>
                <w:szCs w:val="18"/>
              </w:rPr>
            </w:pPr>
            <w:r>
              <w:rPr>
                <w:rFonts w:hint="eastAsia" w:ascii="宋体" w:hAnsi="宋体"/>
                <w:sz w:val="18"/>
                <w:szCs w:val="18"/>
              </w:rPr>
              <w:t>吨</w:t>
            </w:r>
          </w:p>
        </w:tc>
        <w:tc>
          <w:tcPr>
            <w:tcW w:w="1130" w:type="dxa"/>
            <w:vAlign w:val="center"/>
          </w:tcPr>
          <w:p>
            <w:pPr>
              <w:widowControl/>
              <w:jc w:val="center"/>
              <w:rPr>
                <w:rFonts w:ascii="宋体" w:hAnsi="宋体"/>
                <w:kern w:val="0"/>
                <w:sz w:val="18"/>
                <w:szCs w:val="18"/>
              </w:rPr>
            </w:pPr>
            <w:r>
              <w:rPr>
                <w:rFonts w:ascii="宋体" w:hAnsi="宋体"/>
                <w:sz w:val="18"/>
                <w:szCs w:val="18"/>
              </w:rPr>
              <w:t>2541040000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 xml:space="preserve">  焦炉煤气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4501010000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气态生物燃料</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0" w:type="dxa"/>
            <w:vAlign w:val="center"/>
          </w:tcPr>
          <w:p>
            <w:pPr>
              <w:widowControl/>
              <w:jc w:val="center"/>
              <w:rPr>
                <w:rFonts w:ascii="宋体" w:hAnsi="宋体"/>
                <w:kern w:val="0"/>
                <w:sz w:val="18"/>
                <w:szCs w:val="18"/>
              </w:rPr>
            </w:pPr>
            <w:r>
              <w:rPr>
                <w:rFonts w:ascii="宋体" w:hAnsi="宋体"/>
                <w:sz w:val="18"/>
                <w:szCs w:val="18"/>
              </w:rPr>
              <w:t>4520000000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 xml:space="preserve">  发生炉煤气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4501050000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 xml:space="preserve">  再利用煤气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4501020000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火力发电量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煤制天然气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2522010000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燃煤发电量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4401010101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煤制油</w:t>
            </w:r>
          </w:p>
        </w:tc>
        <w:tc>
          <w:tcPr>
            <w:tcW w:w="1139" w:type="dxa"/>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其中：煤矸石发电量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4401010105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煤制石脑油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2523010000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燃油发电量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4401010102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煤制汽油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2523020000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燃气发电量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4401010103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煤制柴油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2523030000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其中：煤层气发电量  </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4401010106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煤制航空燃料</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2523040000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余热、余压、余气发电量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4401010104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煤制石蜡</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2523050000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垃圾焚烧发电量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4401010900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其他煤制油产品</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2523060000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生物质发电量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4401011000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天然气及天然气加工制品</w:t>
            </w:r>
          </w:p>
        </w:tc>
        <w:tc>
          <w:tcPr>
            <w:tcW w:w="1139" w:type="dxa"/>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0720000000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其中：沼气发电量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4401010700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天然气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0702000000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水力发电量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4401010200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常规天然气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0702010000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其中：抽水蓄能发电量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4401010201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非常规天然气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0702020000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核能发电量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4401010300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煤层气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0704000000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风力发电量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4401010500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页岩气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0702020100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太阳能发电量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4401010400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致密砂岩气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万立方米</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0702020200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潮汐能发电量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4401010600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天然气加工制品</w:t>
            </w:r>
          </w:p>
        </w:tc>
        <w:tc>
          <w:tcPr>
            <w:tcW w:w="1139" w:type="dxa"/>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0703100000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地热能发电量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4401010800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 xml:space="preserve">    液化天然气</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0703000000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其他发电量</w:t>
            </w:r>
          </w:p>
        </w:tc>
        <w:tc>
          <w:tcPr>
            <w:tcW w:w="1131" w:type="dxa"/>
            <w:vAlign w:val="center"/>
          </w:tcPr>
          <w:p>
            <w:pPr>
              <w:widowControl/>
              <w:jc w:val="center"/>
              <w:rPr>
                <w:rFonts w:ascii="宋体" w:hAnsi="宋体"/>
                <w:kern w:val="0"/>
                <w:sz w:val="18"/>
                <w:szCs w:val="18"/>
              </w:rPr>
            </w:pPr>
            <w:r>
              <w:rPr>
                <w:rFonts w:hint="eastAsia" w:ascii="宋体" w:hAnsi="宋体"/>
                <w:sz w:val="18"/>
                <w:szCs w:val="18"/>
              </w:rPr>
              <w:t>万千瓦小时</w:t>
            </w:r>
          </w:p>
        </w:tc>
        <w:tc>
          <w:tcPr>
            <w:tcW w:w="1130" w:type="dxa"/>
            <w:vAlign w:val="center"/>
          </w:tcPr>
          <w:p>
            <w:pPr>
              <w:widowControl/>
              <w:jc w:val="center"/>
              <w:rPr>
                <w:rFonts w:ascii="宋体" w:hAnsi="宋体"/>
                <w:kern w:val="0"/>
                <w:sz w:val="18"/>
                <w:szCs w:val="18"/>
              </w:rPr>
            </w:pPr>
            <w:r>
              <w:rPr>
                <w:rFonts w:ascii="宋体" w:hAnsi="宋体"/>
                <w:sz w:val="18"/>
                <w:szCs w:val="18"/>
              </w:rPr>
              <w:t>4401019900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rPr>
                <w:rFonts w:ascii="宋体" w:hAnsi="宋体"/>
                <w:kern w:val="0"/>
                <w:sz w:val="18"/>
                <w:szCs w:val="18"/>
              </w:rPr>
            </w:pPr>
            <w:r>
              <w:rPr>
                <w:rFonts w:hint="eastAsia" w:ascii="宋体" w:hAnsi="宋体"/>
                <w:sz w:val="18"/>
                <w:szCs w:val="18"/>
              </w:rPr>
              <w:t>石油及石油制品</w:t>
            </w:r>
          </w:p>
        </w:tc>
        <w:tc>
          <w:tcPr>
            <w:tcW w:w="1139" w:type="dxa"/>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0710000000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热力</w:t>
            </w:r>
          </w:p>
        </w:tc>
        <w:tc>
          <w:tcPr>
            <w:tcW w:w="1131"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30" w:type="dxa"/>
            <w:vAlign w:val="center"/>
          </w:tcPr>
          <w:p>
            <w:pPr>
              <w:widowControl/>
              <w:jc w:val="center"/>
              <w:rPr>
                <w:rFonts w:ascii="宋体" w:hAnsi="宋体"/>
                <w:kern w:val="0"/>
                <w:sz w:val="18"/>
                <w:szCs w:val="18"/>
              </w:rPr>
            </w:pPr>
            <w:r>
              <w:rPr>
                <w:rFonts w:ascii="宋体" w:hAnsi="宋体"/>
                <w:sz w:val="18"/>
                <w:szCs w:val="18"/>
              </w:rPr>
              <w:t>4402010000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原油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0701000000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太阳能供热</w:t>
            </w:r>
          </w:p>
        </w:tc>
        <w:tc>
          <w:tcPr>
            <w:tcW w:w="1131"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30" w:type="dxa"/>
            <w:vAlign w:val="center"/>
          </w:tcPr>
          <w:p>
            <w:pPr>
              <w:widowControl/>
              <w:jc w:val="center"/>
              <w:rPr>
                <w:rFonts w:ascii="宋体" w:hAnsi="宋体"/>
                <w:kern w:val="0"/>
                <w:sz w:val="18"/>
                <w:szCs w:val="18"/>
              </w:rPr>
            </w:pPr>
            <w:r>
              <w:rPr>
                <w:rFonts w:ascii="宋体" w:hAnsi="宋体"/>
                <w:sz w:val="18"/>
                <w:szCs w:val="18"/>
              </w:rPr>
              <w:t>4402010100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其中：页岩油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2503010000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生物质能供热</w:t>
            </w:r>
          </w:p>
        </w:tc>
        <w:tc>
          <w:tcPr>
            <w:tcW w:w="1131"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30" w:type="dxa"/>
            <w:vAlign w:val="center"/>
          </w:tcPr>
          <w:p>
            <w:pPr>
              <w:widowControl/>
              <w:jc w:val="center"/>
              <w:rPr>
                <w:rFonts w:ascii="宋体" w:hAnsi="宋体"/>
                <w:kern w:val="0"/>
                <w:sz w:val="18"/>
                <w:szCs w:val="18"/>
              </w:rPr>
            </w:pPr>
            <w:r>
              <w:rPr>
                <w:rFonts w:ascii="宋体" w:hAnsi="宋体"/>
                <w:sz w:val="18"/>
                <w:szCs w:val="18"/>
              </w:rPr>
              <w:t>4402010200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原油加工量</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2501000000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地热能供热</w:t>
            </w:r>
          </w:p>
        </w:tc>
        <w:tc>
          <w:tcPr>
            <w:tcW w:w="1131"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30" w:type="dxa"/>
            <w:vAlign w:val="center"/>
          </w:tcPr>
          <w:p>
            <w:pPr>
              <w:widowControl/>
              <w:jc w:val="center"/>
              <w:rPr>
                <w:rFonts w:ascii="宋体" w:hAnsi="宋体"/>
                <w:kern w:val="0"/>
                <w:sz w:val="18"/>
                <w:szCs w:val="18"/>
              </w:rPr>
            </w:pPr>
            <w:r>
              <w:rPr>
                <w:rFonts w:ascii="宋体" w:hAnsi="宋体"/>
                <w:sz w:val="18"/>
                <w:szCs w:val="18"/>
              </w:rPr>
              <w:t>4402010300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180" w:firstLineChars="100"/>
              <w:rPr>
                <w:rFonts w:ascii="宋体" w:hAnsi="宋体"/>
                <w:kern w:val="0"/>
                <w:sz w:val="18"/>
                <w:szCs w:val="18"/>
              </w:rPr>
            </w:pPr>
            <w:r>
              <w:rPr>
                <w:rFonts w:hint="eastAsia" w:ascii="宋体" w:hAnsi="宋体"/>
                <w:sz w:val="18"/>
                <w:szCs w:val="18"/>
              </w:rPr>
              <w:t>石油制品</w:t>
            </w:r>
          </w:p>
        </w:tc>
        <w:tc>
          <w:tcPr>
            <w:tcW w:w="1139" w:type="dxa"/>
            <w:tcMar>
              <w:left w:w="28" w:type="dxa"/>
              <w:right w:w="28" w:type="dxa"/>
            </w:tcMar>
            <w:vAlign w:val="center"/>
          </w:tcPr>
          <w:p>
            <w:pPr>
              <w:widowControl/>
              <w:jc w:val="center"/>
              <w:rPr>
                <w:rFonts w:ascii="宋体" w:hAnsi="宋体"/>
                <w:kern w:val="0"/>
                <w:sz w:val="18"/>
                <w:szCs w:val="18"/>
              </w:rPr>
            </w:pPr>
            <w:r>
              <w:rPr>
                <w:rFonts w:ascii="宋体" w:hAnsi="宋体"/>
                <w:sz w:val="18"/>
                <w:szCs w:val="18"/>
              </w:rPr>
              <w:t>-</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2502000000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化石燃料供热</w:t>
            </w:r>
          </w:p>
        </w:tc>
        <w:tc>
          <w:tcPr>
            <w:tcW w:w="1131"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30" w:type="dxa"/>
            <w:vAlign w:val="center"/>
          </w:tcPr>
          <w:p>
            <w:pPr>
              <w:widowControl/>
              <w:jc w:val="center"/>
              <w:rPr>
                <w:rFonts w:ascii="宋体" w:hAnsi="宋体"/>
                <w:kern w:val="0"/>
                <w:sz w:val="18"/>
                <w:szCs w:val="18"/>
              </w:rPr>
            </w:pPr>
            <w:r>
              <w:rPr>
                <w:rFonts w:ascii="宋体" w:hAnsi="宋体"/>
                <w:sz w:val="18"/>
                <w:szCs w:val="18"/>
              </w:rPr>
              <w:t>4402010400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汽油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2502010000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废料燃烧供热</w:t>
            </w:r>
          </w:p>
        </w:tc>
        <w:tc>
          <w:tcPr>
            <w:tcW w:w="1131"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30" w:type="dxa"/>
            <w:vAlign w:val="center"/>
          </w:tcPr>
          <w:p>
            <w:pPr>
              <w:widowControl/>
              <w:jc w:val="center"/>
              <w:rPr>
                <w:rFonts w:ascii="宋体" w:hAnsi="宋体"/>
                <w:kern w:val="0"/>
                <w:sz w:val="18"/>
                <w:szCs w:val="18"/>
              </w:rPr>
            </w:pPr>
            <w:r>
              <w:rPr>
                <w:rFonts w:ascii="宋体" w:hAnsi="宋体"/>
                <w:sz w:val="18"/>
                <w:szCs w:val="18"/>
              </w:rPr>
              <w:t>4402010500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煤油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2502020000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电热锅炉供热</w:t>
            </w:r>
          </w:p>
        </w:tc>
        <w:tc>
          <w:tcPr>
            <w:tcW w:w="1131"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30" w:type="dxa"/>
            <w:vAlign w:val="center"/>
          </w:tcPr>
          <w:p>
            <w:pPr>
              <w:widowControl/>
              <w:jc w:val="center"/>
              <w:rPr>
                <w:rFonts w:ascii="宋体" w:hAnsi="宋体"/>
                <w:kern w:val="0"/>
                <w:sz w:val="18"/>
                <w:szCs w:val="18"/>
              </w:rPr>
            </w:pPr>
            <w:r>
              <w:rPr>
                <w:rFonts w:ascii="宋体" w:hAnsi="宋体"/>
                <w:sz w:val="18"/>
                <w:szCs w:val="18"/>
              </w:rPr>
              <w:t>4402010600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柴油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2502030000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热泵供热</w:t>
            </w:r>
          </w:p>
        </w:tc>
        <w:tc>
          <w:tcPr>
            <w:tcW w:w="1131"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30" w:type="dxa"/>
            <w:vAlign w:val="center"/>
          </w:tcPr>
          <w:p>
            <w:pPr>
              <w:widowControl/>
              <w:jc w:val="center"/>
              <w:rPr>
                <w:rFonts w:ascii="宋体" w:hAnsi="宋体"/>
                <w:kern w:val="0"/>
                <w:sz w:val="18"/>
                <w:szCs w:val="18"/>
              </w:rPr>
            </w:pPr>
            <w:r>
              <w:rPr>
                <w:rFonts w:ascii="宋体" w:hAnsi="宋体"/>
                <w:sz w:val="18"/>
                <w:szCs w:val="18"/>
              </w:rPr>
              <w:t>4402010700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润滑油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2502040000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余热余压供热</w:t>
            </w:r>
          </w:p>
        </w:tc>
        <w:tc>
          <w:tcPr>
            <w:tcW w:w="1131"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30" w:type="dxa"/>
            <w:vAlign w:val="center"/>
          </w:tcPr>
          <w:p>
            <w:pPr>
              <w:widowControl/>
              <w:jc w:val="center"/>
              <w:rPr>
                <w:rFonts w:ascii="宋体" w:hAnsi="宋体"/>
                <w:kern w:val="0"/>
                <w:sz w:val="18"/>
                <w:szCs w:val="18"/>
              </w:rPr>
            </w:pPr>
            <w:r>
              <w:rPr>
                <w:rFonts w:ascii="宋体" w:hAnsi="宋体"/>
                <w:sz w:val="18"/>
                <w:szCs w:val="18"/>
              </w:rPr>
              <w:t>4402010800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kern w:val="0"/>
                <w:sz w:val="18"/>
                <w:szCs w:val="18"/>
              </w:rPr>
            </w:pPr>
            <w:r>
              <w:rPr>
                <w:rFonts w:hint="eastAsia" w:ascii="宋体" w:hAnsi="宋体"/>
                <w:sz w:val="18"/>
                <w:szCs w:val="18"/>
              </w:rPr>
              <w:t>燃料油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2502050000</w:t>
            </w:r>
          </w:p>
        </w:tc>
        <w:tc>
          <w:tcPr>
            <w:tcW w:w="2490" w:type="dxa"/>
            <w:tcBorders>
              <w:left w:val="double" w:color="auto" w:sz="4" w:space="0"/>
            </w:tcBorders>
            <w:vAlign w:val="center"/>
          </w:tcPr>
          <w:p>
            <w:pPr>
              <w:widowControl/>
              <w:jc w:val="left"/>
              <w:rPr>
                <w:rFonts w:ascii="宋体" w:hAnsi="宋体"/>
                <w:kern w:val="0"/>
                <w:sz w:val="18"/>
                <w:szCs w:val="18"/>
              </w:rPr>
            </w:pPr>
            <w:r>
              <w:rPr>
                <w:rFonts w:hint="eastAsia" w:ascii="宋体" w:hAnsi="宋体"/>
                <w:sz w:val="18"/>
                <w:szCs w:val="18"/>
              </w:rPr>
              <w:t xml:space="preserve">  其他能源供热</w:t>
            </w:r>
          </w:p>
        </w:tc>
        <w:tc>
          <w:tcPr>
            <w:tcW w:w="1131" w:type="dxa"/>
            <w:vAlign w:val="center"/>
          </w:tcPr>
          <w:p>
            <w:pPr>
              <w:widowControl/>
              <w:jc w:val="center"/>
              <w:rPr>
                <w:rFonts w:ascii="宋体" w:hAnsi="宋体"/>
                <w:kern w:val="0"/>
                <w:sz w:val="18"/>
                <w:szCs w:val="18"/>
              </w:rPr>
            </w:pPr>
            <w:r>
              <w:rPr>
                <w:rFonts w:hint="eastAsia" w:ascii="宋体" w:hAnsi="宋体"/>
                <w:sz w:val="18"/>
                <w:szCs w:val="18"/>
              </w:rPr>
              <w:t>百万千焦</w:t>
            </w:r>
          </w:p>
        </w:tc>
        <w:tc>
          <w:tcPr>
            <w:tcW w:w="1130" w:type="dxa"/>
            <w:vAlign w:val="center"/>
          </w:tcPr>
          <w:p>
            <w:pPr>
              <w:widowControl/>
              <w:jc w:val="center"/>
              <w:rPr>
                <w:rFonts w:ascii="宋体" w:hAnsi="宋体"/>
                <w:kern w:val="0"/>
                <w:sz w:val="18"/>
                <w:szCs w:val="18"/>
              </w:rPr>
            </w:pPr>
            <w:r>
              <w:rPr>
                <w:rFonts w:ascii="宋体" w:hAnsi="宋体"/>
                <w:sz w:val="18"/>
                <w:szCs w:val="18"/>
              </w:rPr>
              <w:t>4402010900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sz w:val="18"/>
                <w:szCs w:val="18"/>
              </w:rPr>
            </w:pPr>
            <w:r>
              <w:rPr>
                <w:rFonts w:hint="eastAsia" w:ascii="宋体" w:hAnsi="宋体"/>
                <w:sz w:val="18"/>
                <w:szCs w:val="18"/>
              </w:rPr>
              <w:t>石脑油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2502060000</w:t>
            </w:r>
          </w:p>
        </w:tc>
        <w:tc>
          <w:tcPr>
            <w:tcW w:w="2490" w:type="dxa"/>
            <w:tcBorders>
              <w:left w:val="double" w:color="auto" w:sz="4" w:space="0"/>
            </w:tcBorders>
            <w:vAlign w:val="center"/>
          </w:tcPr>
          <w:p>
            <w:pPr>
              <w:widowControl/>
              <w:jc w:val="left"/>
              <w:rPr>
                <w:rFonts w:ascii="宋体" w:hAnsi="宋体"/>
                <w:sz w:val="18"/>
                <w:szCs w:val="18"/>
              </w:rPr>
            </w:pPr>
          </w:p>
        </w:tc>
        <w:tc>
          <w:tcPr>
            <w:tcW w:w="1131" w:type="dxa"/>
            <w:vAlign w:val="center"/>
          </w:tcPr>
          <w:p>
            <w:pPr>
              <w:widowControl/>
              <w:jc w:val="center"/>
              <w:rPr>
                <w:rFonts w:ascii="宋体" w:hAnsi="宋体"/>
                <w:kern w:val="0"/>
                <w:sz w:val="18"/>
                <w:szCs w:val="18"/>
              </w:rPr>
            </w:pPr>
          </w:p>
        </w:tc>
        <w:tc>
          <w:tcPr>
            <w:tcW w:w="1130" w:type="dxa"/>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sz w:val="18"/>
                <w:szCs w:val="18"/>
              </w:rPr>
            </w:pPr>
            <w:r>
              <w:rPr>
                <w:rFonts w:hint="eastAsia" w:ascii="宋体" w:hAnsi="宋体"/>
                <w:sz w:val="18"/>
                <w:szCs w:val="18"/>
              </w:rPr>
              <w:t>溶剂油</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2502070000</w:t>
            </w:r>
          </w:p>
        </w:tc>
        <w:tc>
          <w:tcPr>
            <w:tcW w:w="2490" w:type="dxa"/>
            <w:tcBorders>
              <w:left w:val="double" w:color="auto" w:sz="4" w:space="0"/>
            </w:tcBorders>
            <w:vAlign w:val="center"/>
          </w:tcPr>
          <w:p>
            <w:pPr>
              <w:widowControl/>
              <w:jc w:val="left"/>
              <w:rPr>
                <w:rFonts w:ascii="宋体" w:hAnsi="宋体"/>
                <w:sz w:val="18"/>
                <w:szCs w:val="18"/>
              </w:rPr>
            </w:pPr>
          </w:p>
        </w:tc>
        <w:tc>
          <w:tcPr>
            <w:tcW w:w="1131" w:type="dxa"/>
            <w:vAlign w:val="center"/>
          </w:tcPr>
          <w:p>
            <w:pPr>
              <w:widowControl/>
              <w:jc w:val="center"/>
              <w:rPr>
                <w:rFonts w:ascii="宋体" w:hAnsi="宋体"/>
                <w:kern w:val="0"/>
                <w:sz w:val="18"/>
                <w:szCs w:val="18"/>
              </w:rPr>
            </w:pPr>
          </w:p>
        </w:tc>
        <w:tc>
          <w:tcPr>
            <w:tcW w:w="1130" w:type="dxa"/>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2" w:hRule="atLeast"/>
          <w:jc w:val="center"/>
        </w:trPr>
        <w:tc>
          <w:tcPr>
            <w:tcW w:w="2529" w:type="dxa"/>
            <w:tcMar>
              <w:left w:w="28" w:type="dxa"/>
              <w:right w:w="28" w:type="dxa"/>
            </w:tcMar>
            <w:vAlign w:val="center"/>
          </w:tcPr>
          <w:p>
            <w:pPr>
              <w:widowControl/>
              <w:ind w:firstLine="360" w:firstLineChars="200"/>
              <w:rPr>
                <w:rFonts w:ascii="宋体" w:hAnsi="宋体"/>
                <w:sz w:val="18"/>
                <w:szCs w:val="18"/>
              </w:rPr>
            </w:pPr>
            <w:r>
              <w:rPr>
                <w:rFonts w:hint="eastAsia" w:ascii="宋体" w:hAnsi="宋体"/>
                <w:sz w:val="18"/>
                <w:szCs w:val="18"/>
              </w:rPr>
              <w:t>石蜡</w:t>
            </w:r>
          </w:p>
        </w:tc>
        <w:tc>
          <w:tcPr>
            <w:tcW w:w="1139" w:type="dxa"/>
            <w:tcMar>
              <w:left w:w="28" w:type="dxa"/>
              <w:right w:w="28" w:type="dxa"/>
            </w:tcMar>
            <w:vAlign w:val="center"/>
          </w:tcPr>
          <w:p>
            <w:pPr>
              <w:widowControl/>
              <w:jc w:val="center"/>
              <w:rPr>
                <w:rFonts w:ascii="宋体" w:hAnsi="宋体"/>
                <w:kern w:val="0"/>
                <w:sz w:val="18"/>
                <w:szCs w:val="18"/>
              </w:rPr>
            </w:pPr>
            <w:r>
              <w:rPr>
                <w:rFonts w:hint="eastAsia" w:ascii="宋体" w:hAnsi="宋体"/>
                <w:sz w:val="18"/>
                <w:szCs w:val="18"/>
              </w:rPr>
              <w:t>吨</w:t>
            </w:r>
          </w:p>
        </w:tc>
        <w:tc>
          <w:tcPr>
            <w:tcW w:w="1137" w:type="dxa"/>
            <w:tcBorders>
              <w:bottom w:val="single" w:color="auto" w:sz="8" w:space="0"/>
              <w:right w:val="double" w:color="auto" w:sz="4" w:space="0"/>
            </w:tcBorders>
            <w:tcMar>
              <w:left w:w="28" w:type="dxa"/>
              <w:right w:w="28" w:type="dxa"/>
            </w:tcMar>
            <w:vAlign w:val="center"/>
          </w:tcPr>
          <w:p>
            <w:pPr>
              <w:widowControl/>
              <w:jc w:val="center"/>
              <w:rPr>
                <w:rFonts w:ascii="宋体" w:hAnsi="宋体"/>
                <w:kern w:val="0"/>
                <w:sz w:val="18"/>
                <w:szCs w:val="18"/>
              </w:rPr>
            </w:pPr>
            <w:r>
              <w:rPr>
                <w:rFonts w:ascii="宋体" w:hAnsi="宋体"/>
                <w:sz w:val="18"/>
                <w:szCs w:val="18"/>
              </w:rPr>
              <w:t>2502100000</w:t>
            </w:r>
          </w:p>
        </w:tc>
        <w:tc>
          <w:tcPr>
            <w:tcW w:w="2490" w:type="dxa"/>
            <w:tcBorders>
              <w:left w:val="double" w:color="auto" w:sz="4" w:space="0"/>
            </w:tcBorders>
            <w:vAlign w:val="center"/>
          </w:tcPr>
          <w:p>
            <w:pPr>
              <w:widowControl/>
              <w:jc w:val="left"/>
              <w:rPr>
                <w:rFonts w:ascii="宋体" w:hAnsi="宋体"/>
                <w:sz w:val="18"/>
                <w:szCs w:val="18"/>
              </w:rPr>
            </w:pPr>
          </w:p>
        </w:tc>
        <w:tc>
          <w:tcPr>
            <w:tcW w:w="1131" w:type="dxa"/>
            <w:vAlign w:val="center"/>
          </w:tcPr>
          <w:p>
            <w:pPr>
              <w:widowControl/>
              <w:jc w:val="center"/>
              <w:rPr>
                <w:rFonts w:ascii="宋体" w:hAnsi="宋体"/>
                <w:kern w:val="0"/>
                <w:sz w:val="18"/>
                <w:szCs w:val="18"/>
              </w:rPr>
            </w:pPr>
          </w:p>
        </w:tc>
        <w:tc>
          <w:tcPr>
            <w:tcW w:w="1130" w:type="dxa"/>
            <w:vAlign w:val="center"/>
          </w:tcPr>
          <w:p>
            <w:pPr>
              <w:widowControl/>
              <w:jc w:val="center"/>
              <w:rPr>
                <w:rFonts w:ascii="宋体" w:hAnsi="宋体"/>
                <w:kern w:val="0"/>
                <w:sz w:val="18"/>
                <w:szCs w:val="18"/>
              </w:rPr>
            </w:pPr>
          </w:p>
        </w:tc>
      </w:tr>
    </w:tbl>
    <w:p>
      <w:pPr>
        <w:spacing w:line="240" w:lineRule="exact"/>
        <w:ind w:left="546" w:leftChars="260"/>
        <w:rPr>
          <w:spacing w:val="-4"/>
          <w:sz w:val="18"/>
        </w:rPr>
        <w:sectPr>
          <w:pgSz w:w="11906" w:h="16838"/>
          <w:pgMar w:top="1418" w:right="1247" w:bottom="1247" w:left="1247" w:header="851" w:footer="992" w:gutter="0"/>
          <w:pgNumType w:fmt="numberInDash"/>
          <w:cols w:space="720" w:num="1"/>
          <w:docGrid w:linePitch="286" w:charSpace="0"/>
        </w:sectPr>
      </w:pPr>
    </w:p>
    <w:p>
      <w:pPr>
        <w:snapToGrid w:val="0"/>
        <w:spacing w:beforeLines="80" w:afterLines="50"/>
        <w:jc w:val="center"/>
        <w:outlineLvl w:val="1"/>
        <w:rPr>
          <w:rFonts w:eastAsia="黑体"/>
          <w:sz w:val="28"/>
          <w:szCs w:val="28"/>
        </w:rPr>
      </w:pPr>
      <w:r>
        <w:rPr>
          <w:rFonts w:eastAsia="黑体"/>
          <w:sz w:val="28"/>
          <w:szCs w:val="28"/>
        </w:rPr>
        <w:t>（</w:t>
      </w:r>
      <w:r>
        <w:rPr>
          <w:rFonts w:hint="eastAsia" w:eastAsia="黑体"/>
          <w:sz w:val="28"/>
          <w:szCs w:val="28"/>
        </w:rPr>
        <w:t>四</w:t>
      </w:r>
      <w:r>
        <w:rPr>
          <w:rFonts w:eastAsia="黑体"/>
          <w:sz w:val="28"/>
          <w:szCs w:val="28"/>
        </w:rPr>
        <w:t>）全社会用电量情况目录（P407表）</w:t>
      </w:r>
    </w:p>
    <w:tbl>
      <w:tblPr>
        <w:tblStyle w:val="25"/>
        <w:tblW w:w="9450" w:type="dxa"/>
        <w:tblInd w:w="108" w:type="dxa"/>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3885"/>
        <w:gridCol w:w="716"/>
        <w:gridCol w:w="4219"/>
        <w:gridCol w:w="630"/>
      </w:tblGrid>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0" w:hRule="exact"/>
        </w:trPr>
        <w:tc>
          <w:tcPr>
            <w:tcW w:w="3885" w:type="dxa"/>
            <w:tcBorders>
              <w:top w:val="single" w:color="auto" w:sz="8" w:space="0"/>
              <w:bottom w:val="single" w:color="auto" w:sz="2" w:space="0"/>
            </w:tcBorders>
            <w:vAlign w:val="center"/>
          </w:tcPr>
          <w:p>
            <w:pPr>
              <w:widowControl/>
              <w:jc w:val="center"/>
              <w:rPr>
                <w:kern w:val="0"/>
                <w:sz w:val="18"/>
                <w:szCs w:val="18"/>
              </w:rPr>
            </w:pPr>
            <w:r>
              <w:rPr>
                <w:rFonts w:hint="eastAsia"/>
                <w:kern w:val="0"/>
                <w:sz w:val="18"/>
                <w:szCs w:val="18"/>
              </w:rPr>
              <w:t>指标内容</w:t>
            </w:r>
          </w:p>
        </w:tc>
        <w:tc>
          <w:tcPr>
            <w:tcW w:w="716" w:type="dxa"/>
            <w:tcBorders>
              <w:top w:val="single" w:color="auto" w:sz="8" w:space="0"/>
              <w:bottom w:val="single" w:color="auto" w:sz="2" w:space="0"/>
              <w:right w:val="double" w:color="auto" w:sz="4" w:space="0"/>
            </w:tcBorders>
            <w:vAlign w:val="center"/>
          </w:tcPr>
          <w:p>
            <w:pPr>
              <w:widowControl/>
              <w:jc w:val="center"/>
              <w:rPr>
                <w:kern w:val="0"/>
                <w:sz w:val="18"/>
                <w:szCs w:val="18"/>
              </w:rPr>
            </w:pPr>
            <w:r>
              <w:rPr>
                <w:rFonts w:hint="eastAsia"/>
                <w:kern w:val="0"/>
                <w:sz w:val="18"/>
                <w:szCs w:val="18"/>
              </w:rPr>
              <w:t>代码</w:t>
            </w:r>
          </w:p>
        </w:tc>
        <w:tc>
          <w:tcPr>
            <w:tcW w:w="4219" w:type="dxa"/>
            <w:tcBorders>
              <w:top w:val="single" w:color="auto" w:sz="8" w:space="0"/>
              <w:left w:val="double" w:color="auto" w:sz="4" w:space="0"/>
              <w:bottom w:val="single" w:color="auto" w:sz="2" w:space="0"/>
            </w:tcBorders>
            <w:vAlign w:val="center"/>
          </w:tcPr>
          <w:p>
            <w:pPr>
              <w:widowControl/>
              <w:jc w:val="center"/>
              <w:rPr>
                <w:kern w:val="0"/>
                <w:sz w:val="18"/>
                <w:szCs w:val="18"/>
              </w:rPr>
            </w:pPr>
            <w:r>
              <w:rPr>
                <w:rFonts w:hint="eastAsia"/>
                <w:kern w:val="0"/>
                <w:sz w:val="18"/>
                <w:szCs w:val="18"/>
              </w:rPr>
              <w:t>指标内容</w:t>
            </w:r>
          </w:p>
        </w:tc>
        <w:tc>
          <w:tcPr>
            <w:tcW w:w="630" w:type="dxa"/>
            <w:tcBorders>
              <w:top w:val="single" w:color="auto" w:sz="8" w:space="0"/>
              <w:bottom w:val="single" w:color="auto" w:sz="2" w:space="0"/>
            </w:tcBorders>
            <w:vAlign w:val="center"/>
          </w:tcPr>
          <w:p>
            <w:pPr>
              <w:widowControl/>
              <w:jc w:val="center"/>
              <w:rPr>
                <w:kern w:val="0"/>
                <w:sz w:val="18"/>
                <w:szCs w:val="18"/>
              </w:rPr>
            </w:pPr>
            <w:r>
              <w:rPr>
                <w:rFonts w:hint="eastAsia"/>
                <w:kern w:val="0"/>
                <w:sz w:val="18"/>
                <w:szCs w:val="18"/>
              </w:rPr>
              <w:t>代码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tcBorders>
              <w:top w:val="single" w:color="auto" w:sz="2"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全社会用电总计</w:t>
            </w:r>
          </w:p>
        </w:tc>
        <w:tc>
          <w:tcPr>
            <w:tcW w:w="716" w:type="dxa"/>
            <w:tcBorders>
              <w:top w:val="single" w:color="auto" w:sz="2" w:space="0"/>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01</w:t>
            </w:r>
          </w:p>
        </w:tc>
        <w:tc>
          <w:tcPr>
            <w:tcW w:w="4219" w:type="dxa"/>
            <w:tcBorders>
              <w:top w:val="single" w:color="auto" w:sz="2" w:space="0"/>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23.专用设备制造业</w:t>
            </w:r>
          </w:p>
        </w:tc>
        <w:tc>
          <w:tcPr>
            <w:tcW w:w="630" w:type="dxa"/>
            <w:tcBorders>
              <w:top w:val="single" w:color="auto" w:sz="2" w:space="0"/>
            </w:tcBorders>
            <w:vAlign w:val="center"/>
          </w:tcPr>
          <w:p>
            <w:pPr>
              <w:widowControl/>
              <w:jc w:val="center"/>
              <w:rPr>
                <w:rFonts w:ascii="宋体" w:hAnsi="宋体" w:cs="宋体"/>
                <w:kern w:val="0"/>
                <w:sz w:val="16"/>
                <w:szCs w:val="16"/>
              </w:rPr>
            </w:pPr>
            <w:r>
              <w:rPr>
                <w:rFonts w:ascii="宋体" w:hAnsi="宋体" w:cs="宋体"/>
                <w:kern w:val="0"/>
                <w:sz w:val="16"/>
                <w:szCs w:val="16"/>
              </w:rPr>
              <w:t>69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80" w:firstLineChars="50"/>
              <w:jc w:val="left"/>
              <w:rPr>
                <w:rFonts w:ascii="宋体" w:hAnsi="宋体" w:cs="宋体"/>
                <w:kern w:val="0"/>
                <w:sz w:val="16"/>
                <w:szCs w:val="16"/>
              </w:rPr>
            </w:pPr>
            <w:r>
              <w:rPr>
                <w:rFonts w:hint="eastAsia" w:ascii="宋体" w:hAnsi="宋体" w:cs="宋体"/>
                <w:kern w:val="0"/>
                <w:sz w:val="16"/>
                <w:szCs w:val="16"/>
              </w:rPr>
              <w:t>A、全行业用电合计</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02</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其中：医疗仪器设备及器械制造</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70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60" w:firstLineChars="100"/>
              <w:jc w:val="left"/>
              <w:rPr>
                <w:rFonts w:ascii="宋体" w:hAnsi="宋体" w:cs="宋体"/>
                <w:kern w:val="0"/>
                <w:sz w:val="16"/>
                <w:szCs w:val="16"/>
              </w:rPr>
            </w:pPr>
            <w:r>
              <w:rPr>
                <w:rFonts w:hint="eastAsia" w:ascii="宋体" w:hAnsi="宋体" w:cs="宋体"/>
                <w:kern w:val="0"/>
                <w:sz w:val="16"/>
                <w:szCs w:val="16"/>
              </w:rPr>
              <w:t>第一产业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03</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24.汽车制造业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71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60" w:firstLineChars="100"/>
              <w:jc w:val="left"/>
              <w:rPr>
                <w:rFonts w:ascii="宋体" w:hAnsi="宋体" w:cs="宋体"/>
                <w:kern w:val="0"/>
                <w:sz w:val="16"/>
                <w:szCs w:val="16"/>
              </w:rPr>
            </w:pPr>
            <w:r>
              <w:rPr>
                <w:rFonts w:hint="eastAsia" w:ascii="宋体" w:hAnsi="宋体" w:cs="宋体"/>
                <w:kern w:val="0"/>
                <w:sz w:val="16"/>
                <w:szCs w:val="16"/>
              </w:rPr>
              <w:t>第二产业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04</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其中：新能源车整车制造</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72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60" w:firstLineChars="100"/>
              <w:jc w:val="left"/>
              <w:rPr>
                <w:rFonts w:ascii="宋体" w:hAnsi="宋体" w:cs="宋体"/>
                <w:kern w:val="0"/>
                <w:sz w:val="16"/>
                <w:szCs w:val="16"/>
              </w:rPr>
            </w:pPr>
            <w:r>
              <w:rPr>
                <w:rFonts w:hint="eastAsia" w:ascii="宋体" w:hAnsi="宋体" w:cs="宋体"/>
                <w:kern w:val="0"/>
                <w:sz w:val="16"/>
                <w:szCs w:val="16"/>
              </w:rPr>
              <w:t>第三产业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05</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25.铁路、船舶、航空航天和其他运输设备制造业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73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80" w:firstLineChars="50"/>
              <w:jc w:val="left"/>
              <w:rPr>
                <w:rFonts w:ascii="宋体" w:hAnsi="宋体" w:cs="宋体"/>
                <w:kern w:val="0"/>
                <w:sz w:val="16"/>
                <w:szCs w:val="16"/>
              </w:rPr>
            </w:pPr>
            <w:r>
              <w:rPr>
                <w:rFonts w:hint="eastAsia" w:ascii="宋体" w:hAnsi="宋体" w:cs="宋体"/>
                <w:kern w:val="0"/>
                <w:sz w:val="16"/>
                <w:szCs w:val="16"/>
              </w:rPr>
              <w:t>B、城乡居民生活用电合计</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06</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其中：铁路运输设备制造</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74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60" w:firstLineChars="100"/>
              <w:jc w:val="left"/>
              <w:rPr>
                <w:rFonts w:ascii="宋体" w:hAnsi="宋体" w:cs="宋体"/>
                <w:kern w:val="0"/>
                <w:sz w:val="16"/>
                <w:szCs w:val="16"/>
              </w:rPr>
            </w:pPr>
            <w:r>
              <w:rPr>
                <w:rFonts w:hint="eastAsia" w:ascii="宋体" w:hAnsi="宋体" w:cs="宋体"/>
                <w:kern w:val="0"/>
                <w:sz w:val="16"/>
                <w:szCs w:val="16"/>
              </w:rPr>
              <w:t>城镇居民</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07</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城市轨道交通设备制造</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75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60" w:firstLineChars="100"/>
              <w:jc w:val="left"/>
              <w:rPr>
                <w:rFonts w:ascii="宋体" w:hAnsi="宋体" w:cs="宋体"/>
                <w:kern w:val="0"/>
                <w:sz w:val="16"/>
                <w:szCs w:val="16"/>
              </w:rPr>
            </w:pPr>
            <w:r>
              <w:rPr>
                <w:rFonts w:hint="eastAsia" w:ascii="宋体" w:hAnsi="宋体" w:cs="宋体"/>
                <w:kern w:val="0"/>
                <w:sz w:val="16"/>
                <w:szCs w:val="16"/>
              </w:rPr>
              <w:t>乡村居民</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08</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航空、航天器及设备制造</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76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全行业用电分类</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09</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26.电气机械和器材制造业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77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60" w:firstLineChars="100"/>
              <w:jc w:val="left"/>
              <w:rPr>
                <w:rFonts w:ascii="宋体" w:hAnsi="宋体" w:cs="宋体"/>
                <w:kern w:val="0"/>
                <w:sz w:val="16"/>
                <w:szCs w:val="16"/>
              </w:rPr>
            </w:pPr>
            <w:r>
              <w:rPr>
                <w:rFonts w:hint="eastAsia" w:ascii="宋体" w:hAnsi="宋体" w:cs="宋体"/>
                <w:kern w:val="0"/>
                <w:sz w:val="16"/>
                <w:szCs w:val="16"/>
              </w:rPr>
              <w:t>一、农、林、牧、渔业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10</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其中：光伏设备及元器件制造</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78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1.农业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11</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27.计算机、通信和其他电子设备制造业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79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2.林业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12</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其中：计算机制造</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80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3.畜牧业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13</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通信设备制造</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81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4.渔业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14</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28.仪器仪表制造业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82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5.农、林、牧、渔专业及辅助性活动</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15</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29.其他制造业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83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320" w:firstLineChars="200"/>
              <w:jc w:val="left"/>
              <w:rPr>
                <w:rFonts w:ascii="宋体" w:hAnsi="宋体" w:cs="宋体"/>
                <w:kern w:val="0"/>
                <w:sz w:val="16"/>
                <w:szCs w:val="16"/>
              </w:rPr>
            </w:pPr>
            <w:r>
              <w:rPr>
                <w:rFonts w:hint="eastAsia" w:ascii="宋体" w:hAnsi="宋体" w:cs="宋体"/>
                <w:kern w:val="0"/>
                <w:sz w:val="16"/>
                <w:szCs w:val="16"/>
              </w:rPr>
              <w:t xml:space="preserve"> 其中：排灌</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16</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30.废弃资源综合利用业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84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60" w:firstLineChars="100"/>
              <w:jc w:val="left"/>
              <w:rPr>
                <w:rFonts w:ascii="宋体" w:hAnsi="宋体" w:cs="宋体"/>
                <w:kern w:val="0"/>
                <w:sz w:val="16"/>
                <w:szCs w:val="16"/>
              </w:rPr>
            </w:pPr>
            <w:r>
              <w:rPr>
                <w:rFonts w:hint="eastAsia" w:ascii="宋体" w:hAnsi="宋体" w:cs="宋体"/>
                <w:kern w:val="0"/>
                <w:sz w:val="16"/>
                <w:szCs w:val="16"/>
              </w:rPr>
              <w:t>二、工业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17</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31.金属制品、机械和设备修理业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85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60" w:firstLineChars="100"/>
              <w:jc w:val="left"/>
              <w:rPr>
                <w:rFonts w:ascii="宋体" w:hAnsi="宋体" w:cs="宋体"/>
                <w:kern w:val="0"/>
                <w:sz w:val="16"/>
                <w:szCs w:val="16"/>
              </w:rPr>
            </w:pPr>
            <w:r>
              <w:rPr>
                <w:rFonts w:hint="eastAsia" w:ascii="宋体" w:hAnsi="宋体" w:cs="宋体"/>
                <w:kern w:val="0"/>
                <w:sz w:val="16"/>
                <w:szCs w:val="16"/>
              </w:rPr>
              <w:t>（一）采矿业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18</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（三）电力、热力、燃气及水生产和供应业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86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1.煤炭开采和洗选业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19</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1.电力、热力生产和供应业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87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2.石油和天然气开采业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20</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其中：电厂生产全部耗用电量</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88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3.黑色金属矿采选业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21</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线路损失电量</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89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4.有色金属矿采选业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22</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抽水蓄能抽水耗用电量</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90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5.非金属矿采选业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23</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2.燃气生产和供应业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91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6.其他采矿业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24</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3.水的生产和供应业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92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60" w:firstLineChars="100"/>
              <w:jc w:val="left"/>
              <w:rPr>
                <w:rFonts w:ascii="宋体" w:hAnsi="宋体" w:cs="宋体"/>
                <w:kern w:val="0"/>
                <w:sz w:val="16"/>
                <w:szCs w:val="16"/>
              </w:rPr>
            </w:pPr>
            <w:r>
              <w:rPr>
                <w:rFonts w:hint="eastAsia" w:ascii="宋体" w:hAnsi="宋体" w:cs="宋体"/>
                <w:kern w:val="0"/>
                <w:sz w:val="16"/>
                <w:szCs w:val="16"/>
              </w:rPr>
              <w:t>（二）制造业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25</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三、建筑业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93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1.农副食品加工业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26</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1.房屋建筑业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94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320" w:firstLineChars="200"/>
              <w:jc w:val="left"/>
              <w:rPr>
                <w:rFonts w:ascii="宋体" w:hAnsi="宋体" w:cs="宋体"/>
                <w:kern w:val="0"/>
                <w:sz w:val="16"/>
                <w:szCs w:val="16"/>
              </w:rPr>
            </w:pPr>
            <w:r>
              <w:rPr>
                <w:rFonts w:hint="eastAsia" w:ascii="宋体" w:hAnsi="宋体" w:cs="宋体"/>
                <w:kern w:val="0"/>
                <w:sz w:val="16"/>
                <w:szCs w:val="16"/>
              </w:rPr>
              <w:t>2.食品制造业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27</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2.土木工程建筑业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95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320" w:firstLineChars="200"/>
              <w:jc w:val="left"/>
              <w:rPr>
                <w:rFonts w:ascii="宋体" w:hAnsi="宋体" w:cs="宋体"/>
                <w:kern w:val="0"/>
                <w:sz w:val="16"/>
                <w:szCs w:val="16"/>
              </w:rPr>
            </w:pPr>
            <w:r>
              <w:rPr>
                <w:rFonts w:hint="eastAsia" w:ascii="宋体" w:hAnsi="宋体" w:cs="宋体"/>
                <w:kern w:val="0"/>
                <w:sz w:val="16"/>
                <w:szCs w:val="16"/>
              </w:rPr>
              <w:t>3.酒、饮料及精制茶制造业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28</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3.建筑安装业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96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320" w:firstLineChars="200"/>
              <w:jc w:val="left"/>
              <w:rPr>
                <w:rFonts w:ascii="宋体" w:hAnsi="宋体" w:cs="宋体"/>
                <w:kern w:val="0"/>
                <w:sz w:val="16"/>
                <w:szCs w:val="16"/>
              </w:rPr>
            </w:pPr>
            <w:r>
              <w:rPr>
                <w:rFonts w:hint="eastAsia" w:ascii="宋体" w:hAnsi="宋体" w:cs="宋体"/>
                <w:kern w:val="0"/>
                <w:sz w:val="16"/>
                <w:szCs w:val="16"/>
              </w:rPr>
              <w:t>4.烟草制品业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29</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4.建筑装饰、装修和其他建筑业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97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5.纺织业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30</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四、交通运输、仓储和邮政业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98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6.纺织服装、服饰业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31</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1.铁路运输业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7.皮革、毛皮、羽毛及其制品和制鞋业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32</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其中：电气化铁路</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100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8.木材加工和木、竹、藤、棕、草制品业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33</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2.道路运输业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101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9.家具制造业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34</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其中：城市公共交通运输</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102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10.造纸和纸制品业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35</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3.水上运输业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103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11.印刷和记录媒介复制业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36</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其中：港口岸电</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104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12.文教、工美、体育和娱乐用品制造业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37</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4.航空运输业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105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560" w:firstLineChars="350"/>
              <w:jc w:val="left"/>
              <w:rPr>
                <w:rFonts w:ascii="宋体" w:hAnsi="宋体" w:cs="宋体"/>
                <w:kern w:val="0"/>
                <w:sz w:val="16"/>
                <w:szCs w:val="16"/>
              </w:rPr>
            </w:pPr>
            <w:r>
              <w:rPr>
                <w:rFonts w:hint="eastAsia" w:ascii="宋体" w:hAnsi="宋体" w:cs="宋体"/>
                <w:kern w:val="0"/>
                <w:sz w:val="16"/>
                <w:szCs w:val="16"/>
              </w:rPr>
              <w:t>其中：体育用品制造</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38</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5.管道运输业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106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13.石油、煤炭及其他燃料加工业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39</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6.多式联运和运输代理业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107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560" w:firstLineChars="350"/>
              <w:jc w:val="left"/>
              <w:rPr>
                <w:rFonts w:ascii="宋体" w:hAnsi="宋体" w:cs="宋体"/>
                <w:kern w:val="0"/>
                <w:sz w:val="16"/>
                <w:szCs w:val="16"/>
              </w:rPr>
            </w:pPr>
            <w:r>
              <w:rPr>
                <w:rFonts w:hint="eastAsia" w:ascii="宋体" w:hAnsi="宋体" w:cs="宋体"/>
                <w:kern w:val="0"/>
                <w:sz w:val="16"/>
                <w:szCs w:val="16"/>
              </w:rPr>
              <w:t>其中：煤化工</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40</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7.装卸搬运和仓储业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108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14.化学原料和化学制品制造业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41</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8.邮政业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109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560" w:firstLineChars="350"/>
              <w:jc w:val="left"/>
              <w:rPr>
                <w:rFonts w:ascii="宋体" w:hAnsi="宋体" w:cs="宋体"/>
                <w:kern w:val="0"/>
                <w:sz w:val="16"/>
                <w:szCs w:val="16"/>
              </w:rPr>
            </w:pPr>
            <w:r>
              <w:rPr>
                <w:rFonts w:hint="eastAsia" w:ascii="宋体" w:hAnsi="宋体" w:cs="宋体"/>
                <w:kern w:val="0"/>
                <w:sz w:val="16"/>
                <w:szCs w:val="16"/>
              </w:rPr>
              <w:t>其中：氯碱</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42</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五、信息传输、软件和信息技术服务业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110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040" w:firstLineChars="650"/>
              <w:jc w:val="left"/>
              <w:rPr>
                <w:rFonts w:ascii="宋体" w:hAnsi="宋体" w:cs="宋体"/>
                <w:kern w:val="0"/>
                <w:sz w:val="16"/>
                <w:szCs w:val="16"/>
              </w:rPr>
            </w:pPr>
            <w:r>
              <w:rPr>
                <w:rFonts w:hint="eastAsia" w:ascii="宋体" w:hAnsi="宋体" w:cs="宋体"/>
                <w:kern w:val="0"/>
                <w:sz w:val="16"/>
                <w:szCs w:val="16"/>
              </w:rPr>
              <w:t>电石</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43</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1.电信、广播电视和卫星传输服务</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111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040" w:firstLineChars="650"/>
              <w:jc w:val="left"/>
              <w:rPr>
                <w:rFonts w:ascii="宋体" w:hAnsi="宋体" w:cs="宋体"/>
                <w:kern w:val="0"/>
                <w:sz w:val="16"/>
                <w:szCs w:val="16"/>
              </w:rPr>
            </w:pPr>
            <w:r>
              <w:rPr>
                <w:rFonts w:hint="eastAsia" w:ascii="宋体" w:hAnsi="宋体" w:cs="宋体"/>
                <w:kern w:val="0"/>
                <w:sz w:val="16"/>
                <w:szCs w:val="16"/>
              </w:rPr>
              <w:t>黄磷</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44</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2.互联网和相关服务</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112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040" w:firstLineChars="650"/>
              <w:jc w:val="left"/>
              <w:rPr>
                <w:rFonts w:ascii="宋体" w:hAnsi="宋体" w:cs="宋体"/>
                <w:kern w:val="0"/>
                <w:sz w:val="16"/>
                <w:szCs w:val="16"/>
              </w:rPr>
            </w:pPr>
            <w:r>
              <w:rPr>
                <w:rFonts w:hint="eastAsia" w:ascii="宋体" w:hAnsi="宋体" w:cs="宋体"/>
                <w:kern w:val="0"/>
                <w:sz w:val="16"/>
                <w:szCs w:val="16"/>
              </w:rPr>
              <w:t>肥料制造</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45</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其中：互联网数据服务</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113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15.医药制造业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46</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3.软件和信息技术服务业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114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560" w:firstLineChars="350"/>
              <w:jc w:val="left"/>
              <w:rPr>
                <w:rFonts w:ascii="宋体" w:hAnsi="宋体" w:cs="宋体"/>
                <w:kern w:val="0"/>
                <w:sz w:val="16"/>
                <w:szCs w:val="16"/>
              </w:rPr>
            </w:pPr>
            <w:r>
              <w:rPr>
                <w:rFonts w:hint="eastAsia" w:ascii="宋体" w:hAnsi="宋体" w:cs="宋体"/>
                <w:kern w:val="0"/>
                <w:sz w:val="16"/>
                <w:szCs w:val="16"/>
              </w:rPr>
              <w:t>其中：中成药生产</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47</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六、批发和零售业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115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ind w:firstLine="1040" w:firstLineChars="650"/>
              <w:jc w:val="left"/>
              <w:rPr>
                <w:rFonts w:ascii="宋体" w:hAnsi="宋体" w:cs="宋体"/>
                <w:kern w:val="0"/>
                <w:sz w:val="16"/>
                <w:szCs w:val="16"/>
              </w:rPr>
            </w:pPr>
            <w:r>
              <w:rPr>
                <w:rFonts w:hint="eastAsia" w:ascii="宋体" w:hAnsi="宋体" w:cs="宋体"/>
                <w:kern w:val="0"/>
                <w:sz w:val="16"/>
                <w:szCs w:val="16"/>
              </w:rPr>
              <w:t>生物药品制品制造</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48</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其中：充换电服务业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116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16.化学纤维制造业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49</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七、住宿和餐饮业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117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17.橡胶和塑料制品业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50</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八、金融业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118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其中：橡胶制品业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51</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九、房地产业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119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塑料制品业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52</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十、租赁和商务服务业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120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18.非金属矿物制品业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53</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其中：租赁业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121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其中：水泥制造</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54</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十一、公共服务及管理组织</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122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玻璃制造</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55</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1.科学研究和技术服务业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123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陶瓷制品制造</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56</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其中：地质勘查</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124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碳化硅</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57</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其中：科技推广和应用服务业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125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19.黑色金属冶炼和压延加工业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58</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2.水利、环境和公共设施管理业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126</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其中：钢铁</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59</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其中：水利管理业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127</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铁合金冶炼</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60</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其中：公共照明</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128</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20.有色金属冶炼和压延加工业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61</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3.居民服务、修理和其他服务业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129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其中：铝冶炼</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62</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4.教育、文化、体育和娱乐业</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130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铅锌冶炼</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63</w:t>
            </w:r>
          </w:p>
        </w:tc>
        <w:tc>
          <w:tcPr>
            <w:tcW w:w="4219" w:type="dxa"/>
            <w:tcBorders>
              <w:left w:val="double" w:color="auto" w:sz="4" w:space="0"/>
            </w:tcBorders>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 xml:space="preserve"> 其中：教育</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131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稀有稀土金属冶炼</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64</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5.卫生和社会工作</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132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21.金属制品业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65</w:t>
            </w:r>
          </w:p>
        </w:tc>
        <w:tc>
          <w:tcPr>
            <w:tcW w:w="4219" w:type="dxa"/>
            <w:tcBorders>
              <w:left w:val="doub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6.公共管理和社会组织、国际组织</w:t>
            </w:r>
          </w:p>
        </w:tc>
        <w:tc>
          <w:tcPr>
            <w:tcW w:w="630" w:type="dxa"/>
            <w:vAlign w:val="center"/>
          </w:tcPr>
          <w:p>
            <w:pPr>
              <w:widowControl/>
              <w:jc w:val="center"/>
              <w:rPr>
                <w:rFonts w:ascii="宋体" w:hAnsi="宋体" w:cs="宋体"/>
                <w:kern w:val="0"/>
                <w:sz w:val="16"/>
                <w:szCs w:val="16"/>
              </w:rPr>
            </w:pPr>
            <w:r>
              <w:rPr>
                <w:rFonts w:ascii="宋体" w:hAnsi="宋体" w:cs="宋体"/>
                <w:kern w:val="0"/>
                <w:sz w:val="16"/>
                <w:szCs w:val="16"/>
              </w:rPr>
              <w:t>133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其中：结构性金属制品制造</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66</w:t>
            </w:r>
          </w:p>
        </w:tc>
        <w:tc>
          <w:tcPr>
            <w:tcW w:w="4219" w:type="dxa"/>
            <w:tcBorders>
              <w:left w:val="double" w:color="auto" w:sz="4" w:space="0"/>
            </w:tcBorders>
            <w:vAlign w:val="center"/>
          </w:tcPr>
          <w:p>
            <w:pPr>
              <w:widowControl/>
              <w:jc w:val="left"/>
              <w:rPr>
                <w:kern w:val="0"/>
                <w:sz w:val="16"/>
                <w:szCs w:val="16"/>
              </w:rPr>
            </w:pPr>
          </w:p>
        </w:tc>
        <w:tc>
          <w:tcPr>
            <w:tcW w:w="630" w:type="dxa"/>
            <w:vAlign w:val="center"/>
          </w:tcPr>
          <w:p>
            <w:pPr>
              <w:widowControl/>
              <w:jc w:val="left"/>
              <w:rPr>
                <w:kern w:val="0"/>
                <w:sz w:val="16"/>
                <w:szCs w:val="16"/>
              </w:rPr>
            </w:pPr>
            <w:r>
              <w:rPr>
                <w:rFonts w:hint="eastAsia"/>
                <w:kern w:val="0"/>
                <w:sz w:val="16"/>
                <w:szCs w:val="16"/>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22.通用设备制造业</w:t>
            </w:r>
          </w:p>
        </w:tc>
        <w:tc>
          <w:tcPr>
            <w:tcW w:w="716" w:type="dxa"/>
            <w:tcBorders>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67</w:t>
            </w:r>
          </w:p>
        </w:tc>
        <w:tc>
          <w:tcPr>
            <w:tcW w:w="4219" w:type="dxa"/>
            <w:tcBorders>
              <w:left w:val="double" w:color="auto" w:sz="4" w:space="0"/>
            </w:tcBorders>
            <w:vAlign w:val="center"/>
          </w:tcPr>
          <w:p>
            <w:pPr>
              <w:widowControl/>
              <w:jc w:val="left"/>
              <w:rPr>
                <w:kern w:val="0"/>
                <w:sz w:val="16"/>
                <w:szCs w:val="16"/>
              </w:rPr>
            </w:pPr>
          </w:p>
        </w:tc>
        <w:tc>
          <w:tcPr>
            <w:tcW w:w="630" w:type="dxa"/>
            <w:vAlign w:val="center"/>
          </w:tcPr>
          <w:p>
            <w:pPr>
              <w:widowControl/>
              <w:jc w:val="left"/>
              <w:rPr>
                <w:kern w:val="0"/>
                <w:sz w:val="16"/>
                <w:szCs w:val="16"/>
              </w:rPr>
            </w:pPr>
            <w:r>
              <w:rPr>
                <w:rFonts w:hint="eastAsia"/>
                <w:kern w:val="0"/>
                <w:sz w:val="16"/>
                <w:szCs w:val="16"/>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3" w:hRule="exact"/>
        </w:trPr>
        <w:tc>
          <w:tcPr>
            <w:tcW w:w="3885" w:type="dxa"/>
            <w:vAlign w:val="center"/>
          </w:tcPr>
          <w:p>
            <w:pPr>
              <w:widowControl/>
              <w:jc w:val="left"/>
              <w:rPr>
                <w:rFonts w:ascii="宋体" w:hAnsi="宋体" w:cs="宋体"/>
                <w:kern w:val="0"/>
                <w:sz w:val="16"/>
                <w:szCs w:val="16"/>
              </w:rPr>
            </w:pPr>
            <w:r>
              <w:rPr>
                <w:rFonts w:ascii="宋体" w:hAnsi="宋体" w:cs="宋体"/>
                <w:kern w:val="0"/>
                <w:sz w:val="16"/>
                <w:szCs w:val="16"/>
              </w:rPr>
              <w:t xml:space="preserve">     </w:t>
            </w:r>
            <w:r>
              <w:rPr>
                <w:rFonts w:hint="eastAsia" w:ascii="宋体" w:hAnsi="宋体" w:cs="宋体"/>
                <w:kern w:val="0"/>
                <w:sz w:val="16"/>
                <w:szCs w:val="16"/>
              </w:rPr>
              <w:t xml:space="preserve">  </w:t>
            </w:r>
            <w:r>
              <w:rPr>
                <w:rFonts w:hint="eastAsia" w:ascii="宋体" w:hAnsi="宋体" w:cs="宋体"/>
                <w:kern w:val="0"/>
                <w:sz w:val="16"/>
                <w:szCs w:val="16"/>
              </w:rPr>
              <w:t>其中：风能原动设备制造</w:t>
            </w:r>
          </w:p>
        </w:tc>
        <w:tc>
          <w:tcPr>
            <w:tcW w:w="716" w:type="dxa"/>
            <w:tcBorders>
              <w:bottom w:val="single" w:color="auto" w:sz="8" w:space="0"/>
              <w:right w:val="double" w:color="auto" w:sz="4" w:space="0"/>
            </w:tcBorders>
            <w:vAlign w:val="center"/>
          </w:tcPr>
          <w:p>
            <w:pPr>
              <w:widowControl/>
              <w:jc w:val="center"/>
              <w:rPr>
                <w:rFonts w:ascii="宋体" w:hAnsi="宋体" w:cs="宋体"/>
                <w:kern w:val="0"/>
                <w:sz w:val="16"/>
                <w:szCs w:val="16"/>
              </w:rPr>
            </w:pPr>
            <w:r>
              <w:rPr>
                <w:rFonts w:ascii="宋体" w:hAnsi="宋体" w:cs="宋体"/>
                <w:kern w:val="0"/>
                <w:sz w:val="16"/>
                <w:szCs w:val="16"/>
              </w:rPr>
              <w:t>68</w:t>
            </w:r>
          </w:p>
        </w:tc>
        <w:tc>
          <w:tcPr>
            <w:tcW w:w="4219" w:type="dxa"/>
            <w:tcBorders>
              <w:left w:val="double" w:color="auto" w:sz="4" w:space="0"/>
            </w:tcBorders>
            <w:vAlign w:val="center"/>
          </w:tcPr>
          <w:p>
            <w:pPr>
              <w:widowControl/>
              <w:jc w:val="left"/>
              <w:rPr>
                <w:kern w:val="0"/>
                <w:sz w:val="16"/>
                <w:szCs w:val="16"/>
              </w:rPr>
            </w:pPr>
            <w:r>
              <w:rPr>
                <w:rFonts w:hint="eastAsia"/>
                <w:kern w:val="0"/>
                <w:sz w:val="16"/>
                <w:szCs w:val="16"/>
              </w:rPr>
              <w:t>　</w:t>
            </w:r>
          </w:p>
        </w:tc>
        <w:tc>
          <w:tcPr>
            <w:tcW w:w="630" w:type="dxa"/>
            <w:vAlign w:val="center"/>
          </w:tcPr>
          <w:p>
            <w:pPr>
              <w:widowControl/>
              <w:jc w:val="left"/>
              <w:rPr>
                <w:kern w:val="0"/>
                <w:sz w:val="16"/>
                <w:szCs w:val="16"/>
              </w:rPr>
            </w:pPr>
            <w:r>
              <w:rPr>
                <w:rFonts w:hint="eastAsia"/>
                <w:kern w:val="0"/>
                <w:sz w:val="16"/>
                <w:szCs w:val="16"/>
              </w:rPr>
              <w:t>　</w:t>
            </w:r>
          </w:p>
        </w:tc>
      </w:tr>
    </w:tbl>
    <w:p>
      <w:pPr>
        <w:pStyle w:val="2"/>
        <w:snapToGrid w:val="0"/>
        <w:spacing w:before="0" w:after="0" w:line="100" w:lineRule="exact"/>
        <w:jc w:val="center"/>
        <w:rPr>
          <w:rFonts w:eastAsia="黑体"/>
          <w:b w:val="0"/>
          <w:sz w:val="32"/>
          <w:szCs w:val="32"/>
        </w:rPr>
      </w:pPr>
    </w:p>
    <w:p>
      <w:pPr>
        <w:pStyle w:val="2"/>
        <w:snapToGrid w:val="0"/>
        <w:spacing w:beforeLines="50" w:afterLines="100" w:line="240" w:lineRule="auto"/>
        <w:jc w:val="center"/>
        <w:rPr>
          <w:rFonts w:eastAsia="黑体"/>
          <w:b w:val="0"/>
          <w:sz w:val="32"/>
          <w:szCs w:val="32"/>
        </w:rPr>
      </w:pPr>
      <w:r>
        <w:rPr>
          <w:rFonts w:eastAsia="黑体"/>
          <w:b w:val="0"/>
          <w:sz w:val="32"/>
          <w:szCs w:val="32"/>
        </w:rPr>
        <w:t>五、主要指标解释</w:t>
      </w:r>
    </w:p>
    <w:p>
      <w:pPr>
        <w:snapToGrid w:val="0"/>
        <w:spacing w:afterLines="100"/>
        <w:jc w:val="center"/>
        <w:outlineLvl w:val="1"/>
        <w:rPr>
          <w:rFonts w:eastAsia="黑体"/>
          <w:sz w:val="28"/>
          <w:szCs w:val="28"/>
        </w:rPr>
      </w:pPr>
      <w:r>
        <w:rPr>
          <w:rFonts w:eastAsia="黑体"/>
          <w:sz w:val="28"/>
          <w:szCs w:val="28"/>
        </w:rPr>
        <w:t>（一）能源购进、消费与库存（205-1表）</w:t>
      </w:r>
    </w:p>
    <w:p>
      <w:pPr>
        <w:spacing w:line="360" w:lineRule="exact"/>
        <w:ind w:right="-38" w:firstLine="420"/>
        <w:textAlignment w:val="center"/>
        <w:rPr>
          <w:szCs w:val="21"/>
        </w:rPr>
      </w:pPr>
      <w:r>
        <w:rPr>
          <w:rFonts w:hint="eastAsia" w:ascii="黑体" w:hAnsi="黑体" w:eastAsia="黑体"/>
          <w:bCs/>
          <w:szCs w:val="21"/>
        </w:rPr>
        <w:t>★</w:t>
      </w:r>
      <w:r>
        <w:rPr>
          <w:rStyle w:val="24"/>
          <w:rFonts w:eastAsia="黑体"/>
          <w:bCs/>
          <w:szCs w:val="21"/>
        </w:rPr>
        <w:footnoteReference w:id="0"/>
      </w:r>
      <w:r>
        <w:rPr>
          <w:rFonts w:eastAsia="黑体"/>
          <w:bCs/>
          <w:szCs w:val="21"/>
        </w:rPr>
        <w:t xml:space="preserve">能源库存量  </w:t>
      </w:r>
      <w:r>
        <w:rPr>
          <w:bCs/>
          <w:szCs w:val="21"/>
        </w:rPr>
        <w:t>指</w:t>
      </w:r>
      <w:r>
        <w:rPr>
          <w:szCs w:val="21"/>
        </w:rPr>
        <w:t>能源使用企业（单位）在报告期的某时间点所拥有的、</w:t>
      </w:r>
      <w:r>
        <w:rPr>
          <w:bCs/>
          <w:szCs w:val="21"/>
        </w:rPr>
        <w:t>用于企业（单位）消费或转卖（不包括本企业自己生产）</w:t>
      </w:r>
      <w:r>
        <w:rPr>
          <w:szCs w:val="21"/>
        </w:rPr>
        <w:t>的各种能源的库存量。</w:t>
      </w:r>
    </w:p>
    <w:p>
      <w:pPr>
        <w:spacing w:line="360" w:lineRule="exact"/>
        <w:ind w:right="-40" w:firstLine="283"/>
        <w:textAlignment w:val="center"/>
        <w:rPr>
          <w:rFonts w:ascii="宋体" w:hAnsi="宋体" w:cs="宋体"/>
          <w:szCs w:val="21"/>
        </w:rPr>
      </w:pPr>
      <w:r>
        <w:rPr>
          <w:rFonts w:hint="eastAsia" w:ascii="宋体" w:hAnsi="宋体" w:cs="宋体"/>
          <w:szCs w:val="21"/>
        </w:rPr>
        <w:t>（1）库存量的核算原则：</w:t>
      </w:r>
    </w:p>
    <w:p>
      <w:pPr>
        <w:spacing w:line="360" w:lineRule="exact"/>
        <w:ind w:right="-38" w:firstLine="420"/>
        <w:textAlignment w:val="center"/>
        <w:rPr>
          <w:rFonts w:ascii="宋体" w:hAnsi="宋体" w:cs="宋体"/>
          <w:szCs w:val="21"/>
        </w:rPr>
      </w:pPr>
      <w:r>
        <w:rPr>
          <w:rFonts w:hint="eastAsia" w:ascii="宋体" w:hAnsi="宋体" w:cs="宋体"/>
          <w:szCs w:val="21"/>
        </w:rPr>
        <w:t>①时点性原则。库存量是指企业在报告期的某时间点所拥有的各种能源数量，所以必须按照制度所规定的时间点盘点库存，不得提前或推后。</w:t>
      </w:r>
    </w:p>
    <w:p>
      <w:pPr>
        <w:spacing w:line="360" w:lineRule="exact"/>
        <w:ind w:right="-38" w:firstLine="420"/>
        <w:textAlignment w:val="center"/>
        <w:rPr>
          <w:rFonts w:ascii="宋体" w:hAnsi="宋体" w:cs="宋体"/>
          <w:szCs w:val="21"/>
        </w:rPr>
      </w:pPr>
      <w:r>
        <w:rPr>
          <w:rFonts w:hint="eastAsia" w:ascii="宋体" w:hAnsi="宋体" w:cs="宋体"/>
          <w:szCs w:val="21"/>
        </w:rPr>
        <w:t>②实际数量原则。企业在库存盘点后，可能出现账面数量与实际库存数量不一致的现象，在这种情况下，应以盘点数量为准来调整账面数量，差额作盘盈或盘亏处理。</w:t>
      </w:r>
    </w:p>
    <w:p>
      <w:pPr>
        <w:spacing w:line="360" w:lineRule="exact"/>
        <w:ind w:right="-38" w:firstLine="420"/>
        <w:textAlignment w:val="center"/>
        <w:rPr>
          <w:rFonts w:ascii="宋体" w:hAnsi="宋体" w:cs="宋体"/>
          <w:szCs w:val="21"/>
        </w:rPr>
      </w:pPr>
      <w:r>
        <w:rPr>
          <w:rFonts w:hint="eastAsia" w:ascii="宋体" w:hAnsi="宋体" w:cs="宋体"/>
          <w:szCs w:val="21"/>
        </w:rPr>
        <w:t>③库存量的核算，以验收合格、办理完入库手续为准，未经验收或不合格的，不能计入库存。</w:t>
      </w:r>
    </w:p>
    <w:p>
      <w:pPr>
        <w:spacing w:line="360" w:lineRule="exact"/>
        <w:ind w:right="-38" w:firstLine="420"/>
        <w:textAlignment w:val="center"/>
        <w:rPr>
          <w:rFonts w:ascii="宋体" w:hAnsi="宋体" w:cs="宋体"/>
          <w:szCs w:val="21"/>
        </w:rPr>
      </w:pPr>
      <w:r>
        <w:rPr>
          <w:rFonts w:hint="eastAsia" w:ascii="宋体" w:hAnsi="宋体" w:cs="宋体"/>
          <w:szCs w:val="21"/>
        </w:rPr>
        <w:t>④能源使用企业（单位）用于消费的能源库存按照能源的使用权原则统计。</w:t>
      </w:r>
    </w:p>
    <w:p>
      <w:pPr>
        <w:spacing w:line="360" w:lineRule="exact"/>
        <w:ind w:right="-40" w:firstLine="283"/>
        <w:textAlignment w:val="center"/>
        <w:rPr>
          <w:rFonts w:ascii="宋体" w:hAnsi="宋体" w:cs="宋体"/>
          <w:szCs w:val="21"/>
        </w:rPr>
      </w:pPr>
      <w:r>
        <w:rPr>
          <w:rFonts w:hint="eastAsia" w:ascii="宋体" w:hAnsi="宋体" w:cs="宋体"/>
          <w:szCs w:val="21"/>
        </w:rPr>
        <w:t>（2）库存量的统计范围：</w:t>
      </w:r>
    </w:p>
    <w:p>
      <w:pPr>
        <w:spacing w:line="360" w:lineRule="exact"/>
        <w:ind w:right="-38" w:firstLine="420"/>
        <w:textAlignment w:val="center"/>
        <w:rPr>
          <w:rFonts w:ascii="宋体" w:hAnsi="宋体" w:cs="宋体"/>
          <w:szCs w:val="21"/>
        </w:rPr>
      </w:pPr>
      <w:r>
        <w:rPr>
          <w:rFonts w:hint="eastAsia" w:ascii="宋体" w:hAnsi="宋体" w:cs="宋体"/>
          <w:szCs w:val="21"/>
        </w:rPr>
        <w:t>能源使用企业（单位）的能源库存统计范围，</w:t>
      </w:r>
      <w:r>
        <w:rPr>
          <w:rFonts w:hint="eastAsia" w:ascii="宋体" w:hAnsi="宋体" w:cs="宋体"/>
          <w:strike/>
          <w:szCs w:val="21"/>
        </w:rPr>
        <w:t>是</w:t>
      </w:r>
      <w:r>
        <w:rPr>
          <w:rFonts w:hint="eastAsia" w:ascii="宋体" w:hAnsi="宋体" w:cs="宋体"/>
          <w:szCs w:val="21"/>
        </w:rPr>
        <w:t>企业购进和调入（加工来料和借入）的、在报告期某一时点尚未消费或转卖、存放在原材料、能源供应仓库（或场地）、车间、工地中的各种能源，主要包括：</w:t>
      </w:r>
    </w:p>
    <w:p>
      <w:pPr>
        <w:spacing w:line="360" w:lineRule="exact"/>
        <w:ind w:right="-38" w:firstLine="420"/>
        <w:textAlignment w:val="center"/>
        <w:rPr>
          <w:rFonts w:ascii="宋体" w:hAnsi="宋体" w:cs="宋体"/>
          <w:szCs w:val="21"/>
        </w:rPr>
      </w:pPr>
      <w:r>
        <w:rPr>
          <w:rFonts w:hint="eastAsia" w:ascii="宋体" w:hAnsi="宋体" w:cs="宋体"/>
          <w:szCs w:val="21"/>
        </w:rPr>
        <w:t>①凡是本单位有权支配的，不论来源（自行采购的、借用的、外单位拨来的等），也不论存放在什么地方（总库、分库、车间、工地、本单位之外的其他地方等），均应统计在本单位的库存量中；</w:t>
      </w:r>
    </w:p>
    <w:p>
      <w:pPr>
        <w:spacing w:line="360" w:lineRule="exact"/>
        <w:ind w:right="-38" w:firstLine="420"/>
        <w:textAlignment w:val="center"/>
        <w:rPr>
          <w:rFonts w:ascii="宋体" w:hAnsi="宋体" w:cs="宋体"/>
          <w:szCs w:val="21"/>
        </w:rPr>
      </w:pPr>
      <w:r>
        <w:rPr>
          <w:rFonts w:hint="eastAsia" w:ascii="宋体" w:hAnsi="宋体" w:cs="宋体"/>
          <w:szCs w:val="21"/>
        </w:rPr>
        <w:t>②在统计时点上尚未投入消费的，包括车间、工地、班组从仓库已领取但尚未投入第一道生产工序的（应办理假退料手续）；</w:t>
      </w:r>
    </w:p>
    <w:p>
      <w:pPr>
        <w:spacing w:line="360" w:lineRule="exact"/>
        <w:ind w:right="-38" w:firstLine="420"/>
        <w:textAlignment w:val="center"/>
        <w:rPr>
          <w:rFonts w:ascii="宋体" w:hAnsi="宋体" w:cs="宋体"/>
          <w:szCs w:val="21"/>
        </w:rPr>
      </w:pPr>
      <w:r>
        <w:rPr>
          <w:rFonts w:hint="eastAsia" w:ascii="宋体" w:hAnsi="宋体" w:cs="宋体"/>
          <w:szCs w:val="21"/>
        </w:rPr>
        <w:t>③外单位来料加工或自外单位借入的，在报告期末尚未消费的；</w:t>
      </w:r>
    </w:p>
    <w:p>
      <w:pPr>
        <w:spacing w:line="360" w:lineRule="exact"/>
        <w:ind w:right="-38" w:firstLine="420"/>
        <w:textAlignment w:val="center"/>
        <w:rPr>
          <w:rFonts w:ascii="宋体" w:hAnsi="宋体" w:cs="宋体"/>
          <w:szCs w:val="21"/>
        </w:rPr>
      </w:pPr>
      <w:r>
        <w:rPr>
          <w:rFonts w:hint="eastAsia" w:ascii="宋体" w:hAnsi="宋体" w:cs="宋体"/>
          <w:szCs w:val="21"/>
        </w:rPr>
        <w:t>④已决定外调（卖出、借出、捐赠等），但尚未办理出库手续的；</w:t>
      </w:r>
    </w:p>
    <w:p>
      <w:pPr>
        <w:spacing w:line="360" w:lineRule="exact"/>
        <w:ind w:right="-38" w:firstLine="420"/>
        <w:textAlignment w:val="center"/>
        <w:rPr>
          <w:rFonts w:ascii="宋体" w:hAnsi="宋体" w:cs="宋体"/>
          <w:szCs w:val="21"/>
        </w:rPr>
      </w:pPr>
      <w:r>
        <w:rPr>
          <w:rFonts w:hint="eastAsia" w:ascii="宋体" w:hAnsi="宋体" w:cs="宋体"/>
          <w:szCs w:val="21"/>
        </w:rPr>
        <w:t>⑤委托外单位代保管的；</w:t>
      </w:r>
    </w:p>
    <w:p>
      <w:pPr>
        <w:spacing w:line="360" w:lineRule="exact"/>
        <w:ind w:right="-38" w:firstLine="420"/>
        <w:textAlignment w:val="center"/>
        <w:rPr>
          <w:rFonts w:ascii="宋体" w:hAnsi="宋体" w:cs="宋体"/>
          <w:szCs w:val="21"/>
        </w:rPr>
      </w:pPr>
      <w:r>
        <w:rPr>
          <w:rFonts w:hint="eastAsia" w:ascii="宋体" w:hAnsi="宋体" w:cs="宋体"/>
          <w:szCs w:val="21"/>
        </w:rPr>
        <w:t>⑥不属于正常周转库存的超出积压或特准储备、战略储备；</w:t>
      </w:r>
    </w:p>
    <w:p>
      <w:pPr>
        <w:spacing w:line="360" w:lineRule="exact"/>
        <w:ind w:right="-38" w:firstLine="420"/>
        <w:textAlignment w:val="center"/>
        <w:rPr>
          <w:rFonts w:ascii="宋体" w:hAnsi="宋体" w:cs="宋体"/>
          <w:szCs w:val="21"/>
        </w:rPr>
      </w:pPr>
      <w:r>
        <w:rPr>
          <w:rFonts w:hint="eastAsia" w:ascii="宋体" w:hAnsi="宋体" w:cs="宋体"/>
          <w:szCs w:val="21"/>
        </w:rPr>
        <w:t>⑦清点盘库时查出属于账外的。</w:t>
      </w:r>
    </w:p>
    <w:p>
      <w:pPr>
        <w:spacing w:line="360" w:lineRule="exact"/>
        <w:ind w:right="-38" w:firstLine="420"/>
        <w:textAlignment w:val="center"/>
        <w:rPr>
          <w:rFonts w:ascii="宋体" w:hAnsi="宋体" w:cs="宋体"/>
          <w:szCs w:val="21"/>
        </w:rPr>
      </w:pPr>
      <w:r>
        <w:rPr>
          <w:rFonts w:hint="eastAsia" w:ascii="宋体" w:hAnsi="宋体" w:cs="宋体"/>
          <w:szCs w:val="21"/>
        </w:rPr>
        <w:t>不包括：</w:t>
      </w:r>
    </w:p>
    <w:p>
      <w:pPr>
        <w:spacing w:line="360" w:lineRule="exact"/>
        <w:ind w:right="-38" w:firstLine="420"/>
        <w:textAlignment w:val="center"/>
        <w:rPr>
          <w:rFonts w:ascii="宋体" w:hAnsi="宋体" w:cs="宋体"/>
          <w:szCs w:val="21"/>
        </w:rPr>
      </w:pPr>
      <w:r>
        <w:rPr>
          <w:rFonts w:hint="eastAsia" w:ascii="宋体" w:hAnsi="宋体" w:cs="宋体"/>
          <w:szCs w:val="21"/>
        </w:rPr>
        <w:t>①已拨交外单位委托加工的；</w:t>
      </w:r>
    </w:p>
    <w:p>
      <w:pPr>
        <w:spacing w:line="360" w:lineRule="exact"/>
        <w:ind w:right="-38" w:firstLine="420"/>
        <w:textAlignment w:val="center"/>
        <w:rPr>
          <w:rFonts w:ascii="宋体" w:hAnsi="宋体" w:cs="宋体"/>
          <w:szCs w:val="21"/>
        </w:rPr>
      </w:pPr>
      <w:r>
        <w:rPr>
          <w:rFonts w:hint="eastAsia" w:ascii="宋体" w:hAnsi="宋体" w:cs="宋体"/>
          <w:szCs w:val="21"/>
        </w:rPr>
        <w:t>②已外调（借出、捐赠等），已经办理出库手续的；</w:t>
      </w:r>
    </w:p>
    <w:p>
      <w:pPr>
        <w:spacing w:line="360" w:lineRule="exact"/>
        <w:ind w:right="-38" w:firstLine="420"/>
        <w:textAlignment w:val="center"/>
        <w:rPr>
          <w:rFonts w:ascii="宋体" w:hAnsi="宋体" w:cs="宋体"/>
          <w:szCs w:val="21"/>
        </w:rPr>
      </w:pPr>
      <w:r>
        <w:rPr>
          <w:rFonts w:hint="eastAsia" w:ascii="宋体" w:hAnsi="宋体" w:cs="宋体"/>
          <w:szCs w:val="21"/>
        </w:rPr>
        <w:t>③供货单位错发到本单位的；</w:t>
      </w:r>
    </w:p>
    <w:p>
      <w:pPr>
        <w:spacing w:line="360" w:lineRule="exact"/>
        <w:ind w:right="-38" w:firstLine="420"/>
        <w:textAlignment w:val="center"/>
        <w:rPr>
          <w:rFonts w:ascii="宋体" w:hAnsi="宋体" w:cs="宋体"/>
          <w:szCs w:val="21"/>
        </w:rPr>
      </w:pPr>
      <w:r>
        <w:rPr>
          <w:rFonts w:hint="eastAsia" w:ascii="宋体" w:hAnsi="宋体" w:cs="宋体"/>
          <w:szCs w:val="21"/>
        </w:rPr>
        <w:t>④代外单位保管的；</w:t>
      </w:r>
    </w:p>
    <w:p>
      <w:pPr>
        <w:spacing w:line="360" w:lineRule="exact"/>
        <w:ind w:right="-38" w:firstLine="420"/>
        <w:textAlignment w:val="center"/>
        <w:rPr>
          <w:rFonts w:ascii="宋体" w:hAnsi="宋体" w:cs="宋体"/>
          <w:szCs w:val="21"/>
        </w:rPr>
      </w:pPr>
      <w:r>
        <w:rPr>
          <w:rFonts w:hint="eastAsia" w:ascii="宋体" w:hAnsi="宋体" w:cs="宋体"/>
          <w:szCs w:val="21"/>
        </w:rPr>
        <w:t>⑤已查实确属损失或丢失的；</w:t>
      </w:r>
    </w:p>
    <w:p>
      <w:pPr>
        <w:spacing w:line="360" w:lineRule="exact"/>
        <w:ind w:right="-38" w:firstLine="420"/>
        <w:textAlignment w:val="center"/>
        <w:rPr>
          <w:rFonts w:ascii="宋体" w:hAnsi="宋体" w:cs="宋体"/>
          <w:szCs w:val="21"/>
        </w:rPr>
      </w:pPr>
      <w:r>
        <w:rPr>
          <w:rFonts w:hint="eastAsia" w:ascii="宋体" w:hAnsi="宋体" w:cs="宋体"/>
          <w:szCs w:val="21"/>
        </w:rPr>
        <w:t>⑥已付货款，但还在运输途中的；</w:t>
      </w:r>
    </w:p>
    <w:p>
      <w:pPr>
        <w:spacing w:line="360" w:lineRule="exact"/>
        <w:ind w:right="-38" w:firstLine="420"/>
        <w:textAlignment w:val="center"/>
        <w:rPr>
          <w:rFonts w:ascii="宋体" w:hAnsi="宋体" w:cs="宋体"/>
          <w:szCs w:val="21"/>
        </w:rPr>
      </w:pPr>
      <w:r>
        <w:rPr>
          <w:rFonts w:hint="eastAsia" w:ascii="宋体" w:hAnsi="宋体" w:cs="宋体"/>
          <w:szCs w:val="21"/>
        </w:rPr>
        <w:t>⑦已运到本单位，但尚未办理或尚未办完验收入库手续的；</w:t>
      </w:r>
    </w:p>
    <w:p>
      <w:pPr>
        <w:spacing w:line="360" w:lineRule="exact"/>
        <w:ind w:right="-38" w:firstLine="420"/>
        <w:textAlignment w:val="center"/>
        <w:rPr>
          <w:rFonts w:ascii="宋体" w:hAnsi="宋体" w:cs="宋体"/>
          <w:szCs w:val="21"/>
        </w:rPr>
      </w:pPr>
      <w:r>
        <w:rPr>
          <w:rFonts w:hint="eastAsia" w:ascii="宋体" w:hAnsi="宋体" w:cs="宋体"/>
          <w:szCs w:val="21"/>
        </w:rPr>
        <w:t>⑧能源生产企业的产成品库存。</w:t>
      </w:r>
    </w:p>
    <w:p>
      <w:pPr>
        <w:spacing w:line="360" w:lineRule="exact"/>
        <w:ind w:right="-38" w:firstLine="420"/>
        <w:textAlignment w:val="center"/>
        <w:rPr>
          <w:szCs w:val="21"/>
        </w:rPr>
      </w:pPr>
      <w:r>
        <w:rPr>
          <w:rFonts w:hint="eastAsia" w:ascii="黑体" w:hAnsi="黑体" w:eastAsia="黑体"/>
          <w:bCs/>
          <w:szCs w:val="21"/>
        </w:rPr>
        <w:t>★</w:t>
      </w:r>
      <w:r>
        <w:rPr>
          <w:rFonts w:eastAsia="黑体"/>
          <w:bCs/>
          <w:szCs w:val="21"/>
        </w:rPr>
        <w:t xml:space="preserve">能源购进量 </w:t>
      </w:r>
      <w:r>
        <w:rPr>
          <w:bCs/>
          <w:szCs w:val="21"/>
        </w:rPr>
        <w:t xml:space="preserve"> 指能源使用企业（单位）在报告期购进的各种能源数量。</w:t>
      </w:r>
      <w:r>
        <w:rPr>
          <w:szCs w:val="21"/>
        </w:rPr>
        <w:t>购进量的核算原则：</w:t>
      </w:r>
    </w:p>
    <w:p>
      <w:pPr>
        <w:spacing w:line="360" w:lineRule="exact"/>
        <w:ind w:right="-38" w:firstLine="420"/>
        <w:textAlignment w:val="center"/>
        <w:rPr>
          <w:szCs w:val="21"/>
        </w:rPr>
      </w:pPr>
      <w:r>
        <w:rPr>
          <w:rFonts w:hint="eastAsia" w:ascii="宋体" w:hAnsi="宋体" w:cs="宋体"/>
          <w:szCs w:val="21"/>
        </w:rPr>
        <w:t>（1）</w:t>
      </w:r>
      <w:r>
        <w:rPr>
          <w:szCs w:val="21"/>
        </w:rPr>
        <w:t>计算购进量的能源必须具备以下三个条件：</w:t>
      </w:r>
    </w:p>
    <w:p>
      <w:pPr>
        <w:spacing w:line="360" w:lineRule="exact"/>
        <w:ind w:right="-38" w:firstLine="420"/>
        <w:textAlignment w:val="center"/>
        <w:rPr>
          <w:szCs w:val="21"/>
        </w:rPr>
      </w:pPr>
      <w:r>
        <w:rPr>
          <w:szCs w:val="21"/>
        </w:rPr>
        <w:t>一是已实际到达本单位；</w:t>
      </w:r>
    </w:p>
    <w:p>
      <w:pPr>
        <w:spacing w:line="360" w:lineRule="exact"/>
        <w:ind w:right="-38" w:firstLine="420"/>
        <w:textAlignment w:val="center"/>
        <w:rPr>
          <w:szCs w:val="21"/>
        </w:rPr>
      </w:pPr>
      <w:r>
        <w:rPr>
          <w:szCs w:val="21"/>
        </w:rPr>
        <w:t>二是经过验收、检验；</w:t>
      </w:r>
    </w:p>
    <w:p>
      <w:pPr>
        <w:spacing w:line="360" w:lineRule="exact"/>
        <w:ind w:right="-38" w:firstLine="420"/>
        <w:textAlignment w:val="center"/>
        <w:rPr>
          <w:szCs w:val="21"/>
        </w:rPr>
      </w:pPr>
      <w:r>
        <w:rPr>
          <w:szCs w:val="21"/>
        </w:rPr>
        <w:t>三是办理完入库手续。但是，在未办理完入库手续前已经投入使用，要计算在购进量中；使用多少，计算多少。</w:t>
      </w:r>
    </w:p>
    <w:p>
      <w:pPr>
        <w:spacing w:line="360" w:lineRule="exact"/>
        <w:ind w:right="-40" w:firstLine="340"/>
        <w:textAlignment w:val="center"/>
        <w:rPr>
          <w:rFonts w:ascii="宋体" w:hAnsi="宋体" w:cs="宋体"/>
          <w:szCs w:val="21"/>
        </w:rPr>
      </w:pPr>
      <w:r>
        <w:rPr>
          <w:rFonts w:hint="eastAsia" w:ascii="宋体" w:hAnsi="宋体" w:cs="宋体"/>
          <w:szCs w:val="21"/>
        </w:rPr>
        <w:t>（2）“谁购进，谁统计”。</w:t>
      </w:r>
    </w:p>
    <w:p>
      <w:pPr>
        <w:spacing w:line="360" w:lineRule="exact"/>
        <w:ind w:right="-38" w:firstLine="420"/>
        <w:textAlignment w:val="center"/>
        <w:rPr>
          <w:rFonts w:ascii="宋体" w:hAnsi="宋体" w:cs="宋体"/>
          <w:szCs w:val="21"/>
        </w:rPr>
      </w:pPr>
      <w:r>
        <w:rPr>
          <w:rFonts w:hint="eastAsia" w:ascii="宋体" w:hAnsi="宋体" w:cs="宋体"/>
          <w:szCs w:val="21"/>
        </w:rPr>
        <w:t>凡属本单位实际购进的，符合上述原则，不论从何处购进，均应计算在内，包括作价的加工来料。</w:t>
      </w:r>
    </w:p>
    <w:p>
      <w:pPr>
        <w:spacing w:line="360" w:lineRule="exact"/>
        <w:ind w:right="-38" w:firstLine="420"/>
        <w:textAlignment w:val="center"/>
        <w:rPr>
          <w:rFonts w:ascii="宋体" w:hAnsi="宋体" w:cs="宋体"/>
          <w:szCs w:val="21"/>
        </w:rPr>
      </w:pPr>
      <w:r>
        <w:rPr>
          <w:rFonts w:hint="eastAsia" w:ascii="宋体" w:hAnsi="宋体" w:cs="宋体"/>
          <w:szCs w:val="21"/>
        </w:rPr>
        <w:t>凡属本报告期实际购进的，办理完入库手续，即计算购进量；什么时间办理入库手续，什么时间计算购进量。</w:t>
      </w:r>
    </w:p>
    <w:p>
      <w:pPr>
        <w:spacing w:line="360" w:lineRule="exact"/>
        <w:ind w:right="-38" w:firstLine="420"/>
        <w:textAlignment w:val="center"/>
        <w:rPr>
          <w:rFonts w:ascii="宋体" w:hAnsi="宋体" w:cs="宋体"/>
          <w:szCs w:val="21"/>
        </w:rPr>
      </w:pPr>
      <w:r>
        <w:rPr>
          <w:rFonts w:hint="eastAsia" w:ascii="宋体" w:hAnsi="宋体" w:cs="宋体"/>
          <w:szCs w:val="21"/>
        </w:rPr>
        <w:t>根据以上原则，下述情况不能计算在购进量内：</w:t>
      </w:r>
    </w:p>
    <w:p>
      <w:pPr>
        <w:spacing w:line="360" w:lineRule="exact"/>
        <w:ind w:right="-40" w:firstLine="340"/>
        <w:textAlignment w:val="center"/>
        <w:rPr>
          <w:rFonts w:ascii="宋体" w:hAnsi="宋体" w:cs="宋体"/>
          <w:szCs w:val="21"/>
        </w:rPr>
      </w:pPr>
      <w:r>
        <w:rPr>
          <w:rFonts w:hint="eastAsia" w:ascii="宋体" w:hAnsi="宋体" w:cs="宋体"/>
          <w:szCs w:val="21"/>
        </w:rPr>
        <w:t>（1）供货单位已发货，但尚未运到本单位，即使已经付款；</w:t>
      </w:r>
    </w:p>
    <w:p>
      <w:pPr>
        <w:spacing w:line="360" w:lineRule="exact"/>
        <w:ind w:right="-40" w:firstLine="340"/>
        <w:textAlignment w:val="center"/>
        <w:rPr>
          <w:rFonts w:ascii="宋体" w:hAnsi="宋体" w:cs="宋体"/>
          <w:szCs w:val="21"/>
        </w:rPr>
      </w:pPr>
      <w:r>
        <w:rPr>
          <w:rFonts w:hint="eastAsia" w:ascii="宋体" w:hAnsi="宋体" w:cs="宋体"/>
          <w:szCs w:val="21"/>
        </w:rPr>
        <w:t>（2）货已运到本单位，但尚未办理验收、入库手续；</w:t>
      </w:r>
    </w:p>
    <w:p>
      <w:pPr>
        <w:spacing w:line="360" w:lineRule="exact"/>
        <w:ind w:right="-40" w:firstLine="340"/>
        <w:textAlignment w:val="center"/>
        <w:rPr>
          <w:rFonts w:ascii="宋体" w:hAnsi="宋体" w:cs="宋体"/>
          <w:szCs w:val="21"/>
        </w:rPr>
      </w:pPr>
      <w:r>
        <w:rPr>
          <w:rFonts w:hint="eastAsia" w:ascii="宋体" w:hAnsi="宋体" w:cs="宋体"/>
          <w:szCs w:val="21"/>
        </w:rPr>
        <w:t>（3）经验收发现的亏吨（按验收后的实际数量计算购进量）；</w:t>
      </w:r>
    </w:p>
    <w:p>
      <w:pPr>
        <w:spacing w:line="360" w:lineRule="exact"/>
        <w:ind w:right="-40" w:firstLine="340"/>
        <w:textAlignment w:val="center"/>
        <w:rPr>
          <w:rFonts w:ascii="宋体" w:hAnsi="宋体" w:cs="宋体"/>
          <w:szCs w:val="21"/>
        </w:rPr>
      </w:pPr>
      <w:r>
        <w:rPr>
          <w:rFonts w:hint="eastAsia" w:ascii="宋体" w:hAnsi="宋体" w:cs="宋体"/>
          <w:szCs w:val="21"/>
        </w:rPr>
        <w:t>（4）借入的，自产自用的，车间、工地上年领用今年退回的，以及加工来料（作价的除外）。</w:t>
      </w:r>
    </w:p>
    <w:p>
      <w:pPr>
        <w:spacing w:line="360" w:lineRule="exact"/>
        <w:ind w:right="-38" w:firstLine="420"/>
        <w:textAlignment w:val="center"/>
        <w:rPr>
          <w:rFonts w:ascii="宋体" w:hAnsi="宋体" w:cs="宋体"/>
          <w:szCs w:val="21"/>
        </w:rPr>
      </w:pPr>
      <w:r>
        <w:rPr>
          <w:rFonts w:hint="eastAsia" w:ascii="宋体" w:hAnsi="宋体" w:cs="宋体"/>
          <w:bCs/>
          <w:szCs w:val="21"/>
        </w:rPr>
        <w:t>能源购进量按照实物量填报。</w:t>
      </w:r>
      <w:r>
        <w:rPr>
          <w:rFonts w:hint="eastAsia" w:ascii="宋体" w:hAnsi="宋体" w:cs="宋体"/>
          <w:szCs w:val="21"/>
        </w:rPr>
        <w:t>各种能源的</w:t>
      </w:r>
      <w:r>
        <w:rPr>
          <w:rFonts w:hint="eastAsia" w:ascii="宋体" w:hAnsi="宋体" w:cs="宋体"/>
          <w:bCs/>
          <w:szCs w:val="21"/>
        </w:rPr>
        <w:t>能源购进实物量</w:t>
      </w:r>
      <w:r>
        <w:rPr>
          <w:rFonts w:hint="eastAsia" w:ascii="宋体" w:hAnsi="宋体" w:cs="宋体"/>
          <w:szCs w:val="21"/>
        </w:rPr>
        <w:t>分别按照报表规定的、体现物质形态属性的计量单位（如：吨、立方米）计算的能源购进量。</w:t>
      </w:r>
    </w:p>
    <w:p>
      <w:pPr>
        <w:spacing w:line="360" w:lineRule="exact"/>
        <w:ind w:right="-38" w:firstLine="420"/>
        <w:textAlignment w:val="center"/>
        <w:rPr>
          <w:rFonts w:ascii="宋体" w:hAnsi="宋体" w:cs="宋体"/>
          <w:szCs w:val="21"/>
        </w:rPr>
      </w:pPr>
      <w:r>
        <w:rPr>
          <w:rFonts w:hint="eastAsia" w:ascii="宋体" w:hAnsi="宋体" w:cs="宋体"/>
          <w:bCs/>
          <w:szCs w:val="21"/>
        </w:rPr>
        <w:t>★</w:t>
      </w:r>
      <w:r>
        <w:rPr>
          <w:rFonts w:hint="eastAsia" w:ascii="黑体" w:hAnsi="黑体" w:eastAsia="黑体" w:cs="黑体"/>
          <w:bCs/>
          <w:szCs w:val="21"/>
        </w:rPr>
        <w:t>购自省外</w:t>
      </w:r>
      <w:r>
        <w:rPr>
          <w:rFonts w:hint="eastAsia" w:ascii="宋体" w:hAnsi="宋体" w:cs="宋体"/>
          <w:bCs/>
          <w:szCs w:val="21"/>
        </w:rPr>
        <w:t xml:space="preserve">  </w:t>
      </w:r>
      <w:r>
        <w:rPr>
          <w:rFonts w:hint="eastAsia" w:ascii="宋体" w:hAnsi="宋体" w:cs="宋体"/>
          <w:szCs w:val="21"/>
        </w:rPr>
        <w:t>指企业在报告期内从本省（自治区、直辖市）以外（包括进口）购进的能源产品数量。</w:t>
      </w:r>
    </w:p>
    <w:p>
      <w:pPr>
        <w:spacing w:line="360" w:lineRule="exact"/>
        <w:ind w:right="-38" w:firstLine="420"/>
        <w:rPr>
          <w:rFonts w:ascii="宋体" w:hAnsi="宋体" w:cs="宋体"/>
          <w:szCs w:val="21"/>
        </w:rPr>
      </w:pPr>
      <w:r>
        <w:rPr>
          <w:rFonts w:hint="eastAsia" w:ascii="宋体" w:hAnsi="宋体" w:cs="宋体"/>
          <w:bCs/>
          <w:szCs w:val="21"/>
        </w:rPr>
        <w:t>★</w:t>
      </w:r>
      <w:r>
        <w:rPr>
          <w:rFonts w:hint="eastAsia" w:ascii="黑体" w:hAnsi="黑体" w:eastAsia="黑体" w:cs="黑体"/>
          <w:bCs/>
          <w:szCs w:val="21"/>
        </w:rPr>
        <w:t>能源购进金额</w:t>
      </w:r>
      <w:r>
        <w:rPr>
          <w:rFonts w:hint="eastAsia" w:ascii="宋体" w:hAnsi="宋体" w:cs="宋体"/>
          <w:bCs/>
          <w:szCs w:val="21"/>
        </w:rPr>
        <w:t xml:space="preserve">  指各种能源按照购进价格计算的</w:t>
      </w:r>
      <w:r>
        <w:rPr>
          <w:rFonts w:hint="eastAsia" w:ascii="宋体" w:hAnsi="宋体" w:cs="宋体"/>
          <w:szCs w:val="21"/>
        </w:rPr>
        <w:t>能源购进量，以价值量（金额）表示，含增值税。计算能源购进金额时要注意：</w:t>
      </w:r>
    </w:p>
    <w:p>
      <w:pPr>
        <w:spacing w:line="360" w:lineRule="exact"/>
        <w:ind w:right="-40" w:firstLine="340"/>
        <w:rPr>
          <w:rFonts w:ascii="宋体" w:hAnsi="宋体" w:cs="宋体"/>
          <w:szCs w:val="21"/>
        </w:rPr>
      </w:pPr>
      <w:r>
        <w:rPr>
          <w:rFonts w:hint="eastAsia" w:ascii="宋体" w:hAnsi="宋体" w:cs="宋体"/>
          <w:szCs w:val="21"/>
        </w:rPr>
        <w:t>（1）价值量指标要与实物量指标相一致，即计算实物量的，亦计算价值量，反之亦然；</w:t>
      </w:r>
    </w:p>
    <w:p>
      <w:pPr>
        <w:spacing w:line="360" w:lineRule="exact"/>
        <w:ind w:right="-40" w:firstLine="340"/>
        <w:rPr>
          <w:rFonts w:ascii="宋体" w:hAnsi="宋体" w:cs="宋体"/>
          <w:szCs w:val="21"/>
        </w:rPr>
      </w:pPr>
      <w:r>
        <w:rPr>
          <w:rFonts w:hint="eastAsia" w:ascii="宋体" w:hAnsi="宋体" w:cs="宋体"/>
          <w:szCs w:val="21"/>
        </w:rPr>
        <w:t>（2）已验收入库尚未结算，购货发票未到，购进量以实际验收数量计算，购进金额以货物的上期平均价或合同价格乘购进量计算，待结算后再作调整。</w:t>
      </w:r>
    </w:p>
    <w:p>
      <w:pPr>
        <w:spacing w:line="360" w:lineRule="exact"/>
        <w:ind w:right="-40" w:firstLine="340"/>
        <w:rPr>
          <w:rFonts w:ascii="宋体" w:hAnsi="宋体" w:cs="宋体"/>
          <w:szCs w:val="21"/>
        </w:rPr>
      </w:pPr>
      <w:r>
        <w:rPr>
          <w:rFonts w:hint="eastAsia" w:ascii="宋体" w:hAnsi="宋体" w:cs="宋体"/>
          <w:szCs w:val="21"/>
        </w:rPr>
        <w:t>（3）能源购进金额不包括运输、装卸费用。</w:t>
      </w:r>
    </w:p>
    <w:p>
      <w:pPr>
        <w:spacing w:line="360" w:lineRule="exact"/>
        <w:ind w:right="-38" w:firstLine="420"/>
        <w:textAlignment w:val="center"/>
        <w:rPr>
          <w:rFonts w:ascii="宋体" w:hAnsi="宋体" w:cs="宋体"/>
          <w:szCs w:val="21"/>
        </w:rPr>
      </w:pPr>
      <w:r>
        <w:rPr>
          <w:rFonts w:hint="eastAsia" w:ascii="宋体" w:hAnsi="宋体" w:cs="宋体"/>
          <w:bCs/>
          <w:szCs w:val="21"/>
        </w:rPr>
        <w:t>★</w:t>
      </w:r>
      <w:r>
        <w:rPr>
          <w:rFonts w:hint="eastAsia" w:ascii="黑体" w:hAnsi="黑体" w:eastAsia="黑体" w:cs="黑体"/>
          <w:bCs/>
          <w:szCs w:val="21"/>
        </w:rPr>
        <w:t>能源消费量</w:t>
      </w:r>
      <w:r>
        <w:rPr>
          <w:rFonts w:hint="eastAsia" w:ascii="宋体" w:hAnsi="宋体" w:cs="宋体"/>
          <w:bCs/>
          <w:szCs w:val="21"/>
        </w:rPr>
        <w:t xml:space="preserve">  </w:t>
      </w:r>
      <w:r>
        <w:rPr>
          <w:rFonts w:hint="eastAsia" w:ascii="宋体" w:hAnsi="宋体" w:cs="宋体"/>
          <w:szCs w:val="21"/>
        </w:rPr>
        <w:t>指能源使用企业（单位）在报告期内实际消费的各种能源的数量。能源消费量分实物量和标准量两种。能源消费实物量是按照报表规定的、体现物质形态属性的计量单位（如：吨、立方米）计算的能源消费量；能源消费标准量是按照能源标准计量单位（如：吨标准煤）计算的能源消费量。</w:t>
      </w:r>
    </w:p>
    <w:p>
      <w:pPr>
        <w:spacing w:line="360" w:lineRule="exact"/>
        <w:ind w:right="-38" w:firstLine="420"/>
        <w:textAlignment w:val="center"/>
        <w:rPr>
          <w:rFonts w:ascii="宋体" w:hAnsi="宋体" w:cs="宋体"/>
          <w:szCs w:val="21"/>
        </w:rPr>
      </w:pPr>
      <w:r>
        <w:rPr>
          <w:rFonts w:hint="eastAsia" w:ascii="黑体" w:hAnsi="黑体" w:eastAsia="黑体" w:cs="黑体"/>
          <w:szCs w:val="21"/>
        </w:rPr>
        <w:t>能源消费量</w:t>
      </w:r>
      <w:r>
        <w:rPr>
          <w:rFonts w:hint="eastAsia" w:ascii="宋体" w:hAnsi="宋体" w:cs="宋体"/>
          <w:szCs w:val="21"/>
        </w:rPr>
        <w:t>的统计原则：</w:t>
      </w:r>
    </w:p>
    <w:p>
      <w:pPr>
        <w:spacing w:line="360" w:lineRule="exact"/>
        <w:ind w:right="-40" w:firstLine="340"/>
        <w:textAlignment w:val="center"/>
        <w:rPr>
          <w:rFonts w:ascii="宋体" w:hAnsi="宋体" w:cs="宋体"/>
          <w:szCs w:val="21"/>
        </w:rPr>
      </w:pPr>
      <w:r>
        <w:rPr>
          <w:rFonts w:hint="eastAsia" w:ascii="宋体" w:hAnsi="宋体" w:cs="宋体"/>
          <w:szCs w:val="21"/>
        </w:rPr>
        <w:t>（1）谁消费、谁统计。即不论其所有权的归属，由哪个单位消费，就由哪个单位统计其消费量。</w:t>
      </w:r>
    </w:p>
    <w:p>
      <w:pPr>
        <w:spacing w:line="360" w:lineRule="exact"/>
        <w:ind w:right="-40" w:firstLine="340"/>
        <w:textAlignment w:val="center"/>
        <w:rPr>
          <w:rFonts w:ascii="宋体" w:hAnsi="宋体" w:cs="宋体"/>
          <w:szCs w:val="21"/>
        </w:rPr>
      </w:pPr>
      <w:r>
        <w:rPr>
          <w:rFonts w:hint="eastAsia" w:ascii="宋体" w:hAnsi="宋体" w:cs="宋体"/>
          <w:szCs w:val="21"/>
        </w:rPr>
        <w:t>（2）何时投入使用，何时计算消费量。企业的能源消费，在时间、工艺界限上，以投入第一道生产工序为标志，即投入第一道生产工序即计算消费；何时投入第一道生产工序，何时计算消费量。</w:t>
      </w:r>
    </w:p>
    <w:p>
      <w:pPr>
        <w:spacing w:line="360" w:lineRule="exact"/>
        <w:ind w:right="-40" w:firstLine="340"/>
        <w:textAlignment w:val="center"/>
        <w:rPr>
          <w:rFonts w:ascii="宋体" w:hAnsi="宋体" w:cs="宋体"/>
          <w:szCs w:val="21"/>
        </w:rPr>
      </w:pPr>
      <w:r>
        <w:rPr>
          <w:rFonts w:hint="eastAsia" w:ascii="宋体" w:hAnsi="宋体" w:cs="宋体"/>
          <w:szCs w:val="21"/>
        </w:rPr>
        <w:t>（3）在计算企业（单位）的综合能源消费量时，不得重复计算，要扣除二次能源的产出量和余热、余能的回收利用量。</w:t>
      </w:r>
    </w:p>
    <w:p>
      <w:pPr>
        <w:spacing w:line="360" w:lineRule="exact"/>
        <w:ind w:right="-40" w:firstLine="340"/>
        <w:textAlignment w:val="center"/>
        <w:rPr>
          <w:rFonts w:ascii="宋体" w:hAnsi="宋体" w:cs="宋体"/>
          <w:szCs w:val="21"/>
        </w:rPr>
      </w:pPr>
      <w:r>
        <w:rPr>
          <w:rFonts w:hint="eastAsia" w:ascii="宋体" w:hAnsi="宋体" w:cs="宋体"/>
          <w:szCs w:val="21"/>
        </w:rPr>
        <w:t>（4）耗能工质（如水、氧气、压缩空气等），不论是外购的还是自产自用的，均不统计在能源消费量中（计算单位产品能耗时是否包括耗能工质，视统计指标的具体规定而定）。</w:t>
      </w:r>
    </w:p>
    <w:p>
      <w:pPr>
        <w:spacing w:line="360" w:lineRule="exact"/>
        <w:ind w:right="-40" w:firstLine="340"/>
        <w:textAlignment w:val="center"/>
        <w:rPr>
          <w:rFonts w:ascii="宋体" w:hAnsi="宋体" w:cs="宋体"/>
          <w:szCs w:val="21"/>
        </w:rPr>
      </w:pPr>
      <w:r>
        <w:rPr>
          <w:rFonts w:hint="eastAsia" w:ascii="宋体" w:hAnsi="宋体" w:cs="宋体"/>
          <w:szCs w:val="21"/>
        </w:rPr>
        <w:t>（5）企业自产的能源，作为企业生产另一种产品的原料或燃料，是否计算消费量，视以下两种情况而定：一是自产的能源如果计算产量，消费时则计算消费量，二是自产的能源如果不计算产量，消费时则不计算消费量，视同产品生产过程中的半成品和中间产品。原则是：计算产量，则计算消费；不计算产量，则不计算消费。</w:t>
      </w:r>
    </w:p>
    <w:p>
      <w:pPr>
        <w:spacing w:line="360" w:lineRule="exact"/>
        <w:ind w:right="-38" w:firstLine="420"/>
        <w:textAlignment w:val="center"/>
        <w:rPr>
          <w:szCs w:val="21"/>
        </w:rPr>
      </w:pPr>
      <w:r>
        <w:rPr>
          <w:rFonts w:hint="eastAsia" w:ascii="宋体" w:hAnsi="宋体" w:cs="宋体"/>
          <w:bCs/>
          <w:szCs w:val="21"/>
        </w:rPr>
        <w:t>★</w:t>
      </w:r>
      <w:r>
        <w:rPr>
          <w:rFonts w:eastAsia="黑体"/>
          <w:bCs/>
          <w:szCs w:val="21"/>
        </w:rPr>
        <w:t>工业企业能源消费量</w:t>
      </w:r>
      <w:r>
        <w:rPr>
          <w:bCs/>
          <w:szCs w:val="21"/>
        </w:rPr>
        <w:t xml:space="preserve">  </w:t>
      </w:r>
      <w:r>
        <w:rPr>
          <w:szCs w:val="21"/>
        </w:rPr>
        <w:t>指工业企业在工业生产活动和非工业生产活动中消费的能源，包括工业生产活动中作为燃料、动力、原料、辅助材料使用的能源，生产工艺中使用的能源，用于能源加工转换的能源；非工业生产活动中使用的能源。具体包括：</w:t>
      </w:r>
    </w:p>
    <w:p>
      <w:pPr>
        <w:spacing w:line="360" w:lineRule="exact"/>
        <w:ind w:right="-40" w:firstLine="340"/>
        <w:textAlignment w:val="center"/>
        <w:rPr>
          <w:rFonts w:ascii="宋体" w:hAnsi="宋体" w:cs="宋体"/>
          <w:szCs w:val="21"/>
        </w:rPr>
      </w:pPr>
      <w:r>
        <w:rPr>
          <w:rFonts w:hint="eastAsia" w:ascii="宋体" w:hAnsi="宋体" w:cs="宋体"/>
          <w:szCs w:val="21"/>
        </w:rPr>
        <w:t>（1）用于本企业产品生产、工业性作业和其他生产性活动的能源；</w:t>
      </w:r>
    </w:p>
    <w:p>
      <w:pPr>
        <w:spacing w:line="360" w:lineRule="exact"/>
        <w:ind w:right="-40" w:firstLine="340"/>
        <w:textAlignment w:val="center"/>
        <w:rPr>
          <w:rFonts w:ascii="宋体" w:hAnsi="宋体" w:cs="宋体"/>
          <w:szCs w:val="21"/>
        </w:rPr>
      </w:pPr>
      <w:r>
        <w:rPr>
          <w:rFonts w:hint="eastAsia" w:ascii="宋体" w:hAnsi="宋体" w:cs="宋体"/>
          <w:szCs w:val="21"/>
        </w:rPr>
        <w:t>（2）用于技术更新改造措施、新技术研究和新产品试制以及科学试验等方面的能源；</w:t>
      </w:r>
    </w:p>
    <w:p>
      <w:pPr>
        <w:spacing w:line="360" w:lineRule="exact"/>
        <w:ind w:right="-40" w:firstLine="340"/>
        <w:textAlignment w:val="center"/>
        <w:rPr>
          <w:rFonts w:ascii="宋体" w:hAnsi="宋体" w:cs="宋体"/>
          <w:szCs w:val="21"/>
        </w:rPr>
      </w:pPr>
      <w:r>
        <w:rPr>
          <w:rFonts w:hint="eastAsia" w:ascii="宋体" w:hAnsi="宋体" w:cs="宋体"/>
          <w:szCs w:val="21"/>
        </w:rPr>
        <w:t>（3）用于经营维修、建筑及设备大修理、机电设备和交通运输工具等方面的能源；</w:t>
      </w:r>
    </w:p>
    <w:p>
      <w:pPr>
        <w:spacing w:line="360" w:lineRule="exact"/>
        <w:ind w:right="-40" w:firstLine="340"/>
        <w:textAlignment w:val="center"/>
        <w:rPr>
          <w:rFonts w:ascii="宋体" w:hAnsi="宋体" w:cs="宋体"/>
          <w:szCs w:val="21"/>
        </w:rPr>
      </w:pPr>
      <w:r>
        <w:rPr>
          <w:rFonts w:hint="eastAsia" w:ascii="宋体" w:hAnsi="宋体" w:cs="宋体"/>
          <w:szCs w:val="21"/>
        </w:rPr>
        <w:t>（4）用于劳动保护的能源；</w:t>
      </w:r>
    </w:p>
    <w:p>
      <w:pPr>
        <w:spacing w:line="360" w:lineRule="exact"/>
        <w:ind w:right="-40" w:firstLine="340"/>
        <w:textAlignment w:val="center"/>
        <w:rPr>
          <w:rFonts w:ascii="宋体" w:hAnsi="宋体" w:cs="宋体"/>
          <w:szCs w:val="21"/>
        </w:rPr>
      </w:pPr>
      <w:r>
        <w:rPr>
          <w:rFonts w:hint="eastAsia" w:ascii="宋体" w:hAnsi="宋体" w:cs="宋体"/>
          <w:szCs w:val="21"/>
        </w:rPr>
        <w:t>（5）生产交通运输工具的企业（如造船厂、汽车制造厂），向成品轮船、汽车中添加动力用油，应算作企业的能源消费，但不作为工业生产消费，应作为非工业生产消费和交通运输工具消费。</w:t>
      </w:r>
    </w:p>
    <w:p>
      <w:pPr>
        <w:spacing w:line="360" w:lineRule="exact"/>
        <w:ind w:right="-40" w:firstLine="340"/>
        <w:textAlignment w:val="center"/>
        <w:rPr>
          <w:rFonts w:ascii="宋体" w:hAnsi="宋体" w:cs="宋体"/>
          <w:szCs w:val="21"/>
        </w:rPr>
      </w:pPr>
      <w:r>
        <w:rPr>
          <w:rFonts w:hint="eastAsia" w:ascii="宋体" w:hAnsi="宋体" w:cs="宋体"/>
          <w:szCs w:val="21"/>
        </w:rPr>
        <w:t>（6）其他非生产消费的能源。</w:t>
      </w:r>
    </w:p>
    <w:p>
      <w:pPr>
        <w:spacing w:line="360" w:lineRule="exact"/>
        <w:ind w:right="-38" w:firstLine="420"/>
        <w:textAlignment w:val="center"/>
        <w:rPr>
          <w:rFonts w:ascii="宋体" w:hAnsi="宋体" w:cs="宋体"/>
          <w:szCs w:val="21"/>
        </w:rPr>
      </w:pPr>
      <w:r>
        <w:rPr>
          <w:rFonts w:hint="eastAsia" w:ascii="宋体" w:hAnsi="宋体" w:cs="宋体"/>
          <w:szCs w:val="21"/>
        </w:rPr>
        <w:t>不包括：</w:t>
      </w:r>
    </w:p>
    <w:p>
      <w:pPr>
        <w:spacing w:line="360" w:lineRule="exact"/>
        <w:ind w:right="-40" w:firstLine="340"/>
        <w:textAlignment w:val="center"/>
        <w:rPr>
          <w:rFonts w:ascii="宋体" w:hAnsi="宋体" w:cs="宋体"/>
          <w:szCs w:val="21"/>
        </w:rPr>
      </w:pPr>
      <w:r>
        <w:rPr>
          <w:rFonts w:hint="eastAsia" w:ascii="宋体" w:hAnsi="宋体" w:cs="宋体"/>
          <w:szCs w:val="21"/>
        </w:rPr>
        <w:t>（1）由仓库发到车间，但在报告期最后一天没有消费的能源。这部分能源应在办理假退料手续后计入库存量。</w:t>
      </w:r>
    </w:p>
    <w:p>
      <w:pPr>
        <w:spacing w:line="360" w:lineRule="exact"/>
        <w:ind w:right="-40" w:firstLine="340"/>
        <w:textAlignment w:val="center"/>
        <w:rPr>
          <w:rFonts w:ascii="宋体" w:hAnsi="宋体" w:cs="宋体"/>
          <w:szCs w:val="21"/>
        </w:rPr>
      </w:pPr>
      <w:r>
        <w:rPr>
          <w:rFonts w:hint="eastAsia" w:ascii="宋体" w:hAnsi="宋体" w:cs="宋体"/>
          <w:szCs w:val="21"/>
        </w:rPr>
        <w:t>（2）拨到外单位，委托外单位加工用的能源。</w:t>
      </w:r>
    </w:p>
    <w:p>
      <w:pPr>
        <w:spacing w:line="360" w:lineRule="exact"/>
        <w:ind w:right="-40" w:firstLine="340"/>
        <w:textAlignment w:val="center"/>
        <w:rPr>
          <w:rFonts w:ascii="宋体" w:hAnsi="宋体" w:cs="宋体"/>
          <w:szCs w:val="21"/>
        </w:rPr>
      </w:pPr>
      <w:r>
        <w:rPr>
          <w:rFonts w:hint="eastAsia" w:ascii="宋体" w:hAnsi="宋体" w:cs="宋体"/>
          <w:szCs w:val="21"/>
        </w:rPr>
        <w:t>（3）调出本单位或借给外单位的能源。</w:t>
      </w:r>
    </w:p>
    <w:p>
      <w:pPr>
        <w:spacing w:line="360" w:lineRule="exact"/>
        <w:ind w:right="-38" w:firstLine="420"/>
        <w:textAlignment w:val="center"/>
        <w:rPr>
          <w:rFonts w:ascii="宋体" w:hAnsi="宋体" w:cs="宋体"/>
          <w:szCs w:val="21"/>
        </w:rPr>
      </w:pPr>
      <w:r>
        <w:rPr>
          <w:rFonts w:hint="eastAsia" w:ascii="宋体" w:hAnsi="宋体" w:cs="宋体"/>
          <w:bCs/>
          <w:szCs w:val="21"/>
        </w:rPr>
        <w:t>★</w:t>
      </w:r>
      <w:r>
        <w:rPr>
          <w:rFonts w:hint="eastAsia" w:ascii="黑体" w:hAnsi="黑体" w:eastAsia="黑体" w:cs="黑体"/>
          <w:bCs/>
          <w:szCs w:val="21"/>
        </w:rPr>
        <w:t>工业生产能源消费量</w:t>
      </w:r>
      <w:r>
        <w:rPr>
          <w:rFonts w:hint="eastAsia" w:ascii="宋体" w:hAnsi="宋体" w:cs="宋体"/>
          <w:bCs/>
          <w:szCs w:val="21"/>
        </w:rPr>
        <w:t xml:space="preserve">  </w:t>
      </w:r>
      <w:r>
        <w:rPr>
          <w:rFonts w:hint="eastAsia" w:ascii="宋体" w:hAnsi="宋体" w:cs="宋体"/>
          <w:szCs w:val="21"/>
        </w:rPr>
        <w:t>指工业企业为进行工业生产活动所消费的能源。主要包括：</w:t>
      </w:r>
    </w:p>
    <w:p>
      <w:pPr>
        <w:spacing w:line="360" w:lineRule="exact"/>
        <w:ind w:right="-40" w:firstLine="340"/>
        <w:textAlignment w:val="center"/>
        <w:rPr>
          <w:rFonts w:ascii="宋体" w:hAnsi="宋体" w:cs="宋体"/>
          <w:szCs w:val="21"/>
        </w:rPr>
      </w:pPr>
      <w:r>
        <w:rPr>
          <w:rFonts w:hint="eastAsia" w:ascii="宋体" w:hAnsi="宋体" w:cs="宋体"/>
          <w:szCs w:val="21"/>
        </w:rPr>
        <w:t>（1）用于本企业产品生产、工业性作业的能源，包括用作原料、材料、燃料、动力的能源；作为能源加工转换企业，还包括用作加工转换的能源（这部分能源不能理解为用作原材料，用作原材料的概念见后面的解释）；</w:t>
      </w:r>
    </w:p>
    <w:p>
      <w:pPr>
        <w:spacing w:line="360" w:lineRule="exact"/>
        <w:ind w:right="-40" w:firstLine="340"/>
        <w:textAlignment w:val="center"/>
        <w:rPr>
          <w:rFonts w:ascii="宋体" w:hAnsi="宋体" w:cs="宋体"/>
          <w:szCs w:val="21"/>
        </w:rPr>
      </w:pPr>
      <w:r>
        <w:rPr>
          <w:rFonts w:hint="eastAsia" w:ascii="宋体" w:hAnsi="宋体" w:cs="宋体"/>
          <w:szCs w:val="21"/>
        </w:rPr>
        <w:t>（2）产品生产过程中作为辅助材料使用的能源；</w:t>
      </w:r>
    </w:p>
    <w:p>
      <w:pPr>
        <w:spacing w:line="360" w:lineRule="exact"/>
        <w:ind w:right="-40" w:firstLine="340"/>
        <w:textAlignment w:val="center"/>
        <w:rPr>
          <w:rFonts w:ascii="宋体" w:hAnsi="宋体" w:cs="宋体"/>
          <w:szCs w:val="21"/>
        </w:rPr>
      </w:pPr>
      <w:r>
        <w:rPr>
          <w:rFonts w:hint="eastAsia" w:ascii="宋体" w:hAnsi="宋体" w:cs="宋体"/>
          <w:szCs w:val="21"/>
        </w:rPr>
        <w:t>（3）生产工艺过程使用的能源；</w:t>
      </w:r>
    </w:p>
    <w:p>
      <w:pPr>
        <w:spacing w:line="360" w:lineRule="exact"/>
        <w:ind w:right="-40" w:firstLine="340"/>
        <w:textAlignment w:val="center"/>
        <w:rPr>
          <w:rFonts w:ascii="宋体" w:hAnsi="宋体" w:cs="宋体"/>
          <w:szCs w:val="21"/>
        </w:rPr>
      </w:pPr>
      <w:r>
        <w:rPr>
          <w:rFonts w:hint="eastAsia" w:ascii="宋体" w:hAnsi="宋体" w:cs="宋体"/>
          <w:szCs w:val="21"/>
        </w:rPr>
        <w:t>（4）新技术研究、新产品试制、科学试验使用的能源；</w:t>
      </w:r>
    </w:p>
    <w:p>
      <w:pPr>
        <w:spacing w:line="360" w:lineRule="exact"/>
        <w:ind w:right="-40" w:firstLine="340"/>
        <w:textAlignment w:val="center"/>
        <w:rPr>
          <w:rFonts w:ascii="宋体" w:hAnsi="宋体" w:cs="宋体"/>
          <w:szCs w:val="21"/>
        </w:rPr>
      </w:pPr>
      <w:r>
        <w:rPr>
          <w:rFonts w:hint="eastAsia" w:ascii="宋体" w:hAnsi="宋体" w:cs="宋体"/>
          <w:szCs w:val="21"/>
        </w:rPr>
        <w:t>（5）为了工业生产活动而在进行的各种修理过程中使用的能源；</w:t>
      </w:r>
    </w:p>
    <w:p>
      <w:pPr>
        <w:spacing w:line="360" w:lineRule="exact"/>
        <w:ind w:right="-40" w:firstLine="340"/>
        <w:textAlignment w:val="center"/>
        <w:rPr>
          <w:rFonts w:ascii="宋体" w:hAnsi="宋体" w:cs="宋体"/>
          <w:szCs w:val="21"/>
        </w:rPr>
      </w:pPr>
      <w:r>
        <w:rPr>
          <w:rFonts w:hint="eastAsia" w:ascii="宋体" w:hAnsi="宋体" w:cs="宋体"/>
          <w:szCs w:val="21"/>
        </w:rPr>
        <w:t>（6）生产区内的劳动保护用能等。</w:t>
      </w:r>
    </w:p>
    <w:p>
      <w:pPr>
        <w:spacing w:line="360" w:lineRule="exact"/>
        <w:ind w:right="-38" w:firstLine="420"/>
        <w:textAlignment w:val="center"/>
        <w:rPr>
          <w:szCs w:val="21"/>
        </w:rPr>
      </w:pPr>
      <w:r>
        <w:rPr>
          <w:rFonts w:hint="eastAsia" w:ascii="黑体" w:hAnsi="黑体" w:eastAsia="黑体"/>
          <w:bCs/>
          <w:szCs w:val="21"/>
        </w:rPr>
        <w:t>★</w:t>
      </w:r>
      <w:r>
        <w:rPr>
          <w:rFonts w:eastAsia="黑体"/>
          <w:bCs/>
          <w:szCs w:val="21"/>
        </w:rPr>
        <w:t xml:space="preserve">用于原材料的能源消费量  </w:t>
      </w:r>
      <w:r>
        <w:rPr>
          <w:szCs w:val="21"/>
        </w:rPr>
        <w:t>指能源产品不作能源使用，即不作燃料、动力使用，而作为生产另外一种产品（非能源产品）的原料或作为辅助材料使用，作原料使用时通常构成这种产品的实体。它与用作加工转换的区别是：用作加工转换，投入的是能源，产出的主要产品还是能源（或产出的产品属于加工转换过程中产生的不作能源使用的其他副产品和联产品）。而用作原材料时，投入的是能源，产出的主要产品是能源范畴以外的产品，包括产出的某种产品在广义上可以用作能源（比如可以燃烧以提供热量），但通常意义上不作能源使用的产品。</w:t>
      </w:r>
    </w:p>
    <w:p>
      <w:pPr>
        <w:spacing w:line="360" w:lineRule="exact"/>
        <w:ind w:right="-38" w:firstLine="420"/>
        <w:textAlignment w:val="center"/>
        <w:rPr>
          <w:szCs w:val="21"/>
        </w:rPr>
      </w:pPr>
      <w:r>
        <w:rPr>
          <w:rFonts w:eastAsia="黑体"/>
          <w:bCs/>
          <w:szCs w:val="21"/>
        </w:rPr>
        <w:t xml:space="preserve">非工业生产能源消费量  </w:t>
      </w:r>
      <w:r>
        <w:rPr>
          <w:szCs w:val="21"/>
        </w:rPr>
        <w:t>指在工业企业能源消费中，除“工业生产能源消费”以外的能源消费，即非工业生产用能和工业企业附属的不从事工业生产活动的非独立核算单位用能。比如本企业施工单位进行技术更新改造、维修等过程用能，非生产区的劳动保护用能，科研单位、农场、车队、学校、医院、食堂、托儿所等单位用能。但是必须注意，上述单位如果是独立核算的，其用能既不能包括在“工业企业能源消费”中，亦不能包括在“非工业生产能源消费”中。</w:t>
      </w:r>
    </w:p>
    <w:p>
      <w:pPr>
        <w:spacing w:line="360" w:lineRule="exact"/>
        <w:ind w:right="-38" w:firstLine="420"/>
        <w:textAlignment w:val="center"/>
        <w:rPr>
          <w:szCs w:val="21"/>
        </w:rPr>
      </w:pPr>
      <w:r>
        <w:rPr>
          <w:szCs w:val="21"/>
        </w:rPr>
        <w:t>生产交通运输工具的企业（如造船厂、汽车制造厂），向成品轮船、汽车中添加动力用油，应算作企业的非工业生产消费。</w:t>
      </w:r>
    </w:p>
    <w:p>
      <w:pPr>
        <w:spacing w:line="360" w:lineRule="exact"/>
        <w:ind w:right="-38" w:firstLine="420"/>
        <w:textAlignment w:val="center"/>
        <w:rPr>
          <w:spacing w:val="4"/>
          <w:szCs w:val="21"/>
        </w:rPr>
      </w:pPr>
      <w:r>
        <w:rPr>
          <w:rFonts w:hint="eastAsia" w:ascii="黑体" w:hAnsi="黑体" w:eastAsia="黑体"/>
          <w:bCs/>
          <w:szCs w:val="21"/>
        </w:rPr>
        <w:t>★</w:t>
      </w:r>
      <w:r>
        <w:rPr>
          <w:rFonts w:eastAsia="黑体"/>
          <w:bCs/>
          <w:szCs w:val="21"/>
        </w:rPr>
        <w:t>运输工具能源消费量</w:t>
      </w:r>
      <w:r>
        <w:rPr>
          <w:rStyle w:val="24"/>
          <w:rFonts w:eastAsia="黑体"/>
          <w:bCs/>
          <w:szCs w:val="21"/>
        </w:rPr>
        <w:footnoteReference w:id="1"/>
      </w:r>
      <w:r>
        <w:rPr>
          <w:rFonts w:eastAsia="黑体"/>
          <w:bCs/>
          <w:szCs w:val="21"/>
        </w:rPr>
        <w:t xml:space="preserve">  </w:t>
      </w:r>
      <w:r>
        <w:rPr>
          <w:spacing w:val="4"/>
          <w:szCs w:val="21"/>
        </w:rPr>
        <w:t>指在厂区内、外进行交通运输活动的交通运输工具所消费的能源。生产交通运输工具的企业（如造船厂、汽车制造厂），向成品轮船、汽车中添加动力用油，</w:t>
      </w:r>
      <w:r>
        <w:rPr>
          <w:rFonts w:hint="eastAsia"/>
          <w:spacing w:val="4"/>
          <w:szCs w:val="21"/>
        </w:rPr>
        <w:t>虽是</w:t>
      </w:r>
      <w:r>
        <w:rPr>
          <w:spacing w:val="4"/>
          <w:szCs w:val="21"/>
        </w:rPr>
        <w:t>应作为交通运输工具消费</w:t>
      </w:r>
      <w:r>
        <w:rPr>
          <w:rFonts w:hint="eastAsia"/>
          <w:spacing w:val="4"/>
          <w:szCs w:val="21"/>
        </w:rPr>
        <w:t>，但不填入报表中的“交通工具能源消费量”中。</w:t>
      </w:r>
    </w:p>
    <w:p>
      <w:pPr>
        <w:spacing w:line="360" w:lineRule="exact"/>
        <w:ind w:right="-38" w:firstLine="420"/>
        <w:textAlignment w:val="center"/>
        <w:rPr>
          <w:szCs w:val="21"/>
        </w:rPr>
      </w:pPr>
      <w:r>
        <w:rPr>
          <w:szCs w:val="21"/>
        </w:rPr>
        <w:t>如果工业企业所属的车队是独立核算的企业，其消费的能源既不能包括在“工业企业能源消费”中，亦不能包括在“运输工具消费”中，它的消费应为交通运输</w:t>
      </w:r>
      <w:r>
        <w:rPr>
          <w:rFonts w:hint="eastAsia"/>
          <w:szCs w:val="21"/>
        </w:rPr>
        <w:t>、</w:t>
      </w:r>
      <w:r>
        <w:rPr>
          <w:szCs w:val="21"/>
        </w:rPr>
        <w:t>仓储和邮政业企业消费。</w:t>
      </w:r>
    </w:p>
    <w:p>
      <w:pPr>
        <w:spacing w:line="360" w:lineRule="exact"/>
        <w:ind w:firstLine="420"/>
        <w:textAlignment w:val="center"/>
        <w:rPr>
          <w:sz w:val="28"/>
          <w:szCs w:val="28"/>
        </w:rPr>
      </w:pPr>
      <w:r>
        <w:rPr>
          <w:rFonts w:hint="eastAsia" w:ascii="黑体" w:hAnsi="黑体" w:eastAsia="黑体"/>
          <w:bCs/>
        </w:rPr>
        <w:t>★</w:t>
      </w:r>
      <w:r>
        <w:rPr>
          <w:rFonts w:eastAsia="黑体"/>
          <w:bCs/>
        </w:rPr>
        <w:t xml:space="preserve">综合能源消费量  </w:t>
      </w:r>
      <w:r>
        <w:t>指企业（单位）在报告期内工业生产实际消费的各种能源（扣除能源加工转换和能源回收利用等重复因素）的总和。计算综合能源消费量时，需要将各种能源品种的消费量换算成按照标准计量单位（如：吨标准煤）计量的消费量。不同工业法人单位的计算方法见《能源购进、消费与库存》</w:t>
      </w:r>
      <w:r>
        <w:rPr>
          <w:rFonts w:hint="eastAsia" w:ascii="宋体" w:hAnsi="宋体" w:cs="宋体"/>
        </w:rPr>
        <w:t>（205-1表）</w:t>
      </w:r>
      <w:r>
        <w:t>的说明。</w:t>
      </w:r>
    </w:p>
    <w:p>
      <w:pPr>
        <w:spacing w:beforeLines="200" w:afterLines="100" w:line="360" w:lineRule="exact"/>
        <w:ind w:firstLine="420"/>
        <w:jc w:val="center"/>
        <w:textAlignment w:val="center"/>
        <w:rPr>
          <w:rFonts w:ascii="宋体" w:hAnsi="宋体" w:cs="宋体"/>
          <w:sz w:val="28"/>
          <w:szCs w:val="28"/>
        </w:rPr>
      </w:pPr>
      <w:r>
        <w:rPr>
          <w:rFonts w:eastAsia="黑体"/>
          <w:sz w:val="28"/>
          <w:szCs w:val="28"/>
        </w:rPr>
        <w:t>（二）能源加工转换与回收利用</w:t>
      </w:r>
      <w:r>
        <w:rPr>
          <w:rFonts w:hint="eastAsia" w:ascii="宋体" w:hAnsi="宋体" w:cs="宋体"/>
          <w:sz w:val="28"/>
          <w:szCs w:val="28"/>
        </w:rPr>
        <w:t>（205-2表）</w:t>
      </w:r>
    </w:p>
    <w:p>
      <w:pPr>
        <w:spacing w:line="360" w:lineRule="exact"/>
        <w:ind w:right="-38" w:firstLine="420"/>
        <w:textAlignment w:val="center"/>
        <w:rPr>
          <w:szCs w:val="21"/>
        </w:rPr>
      </w:pPr>
      <w:r>
        <w:rPr>
          <w:rFonts w:eastAsia="黑体"/>
          <w:bCs/>
          <w:szCs w:val="21"/>
        </w:rPr>
        <w:t xml:space="preserve">能源加工转换投入  </w:t>
      </w:r>
      <w:r>
        <w:rPr>
          <w:szCs w:val="21"/>
        </w:rPr>
        <w:t>能源加工转换，指为了特定的用途，将一种能源（一般为一次能源），经过一定的工艺，加工或转换成另外一种能源（二次能源）。</w:t>
      </w:r>
    </w:p>
    <w:p>
      <w:pPr>
        <w:spacing w:line="360" w:lineRule="exact"/>
        <w:ind w:right="-38" w:firstLine="420"/>
        <w:textAlignment w:val="center"/>
        <w:rPr>
          <w:szCs w:val="21"/>
        </w:rPr>
      </w:pPr>
      <w:r>
        <w:rPr>
          <w:szCs w:val="21"/>
        </w:rPr>
        <w:t>能源加工，是能源的物理形态的变化，比如用蒸馏的方式将原油炼制成汽油、煤油、柴油等石油制品；用筛选、水洗的方式将原煤洗选成洗煤；以焦化的方式将煤炭高温干馏成焦炭；以气化的方式将煤炭气化成煤气，等等。这些方法在加工前后能源均未发生质的变化。</w:t>
      </w:r>
    </w:p>
    <w:p>
      <w:pPr>
        <w:spacing w:line="360" w:lineRule="exact"/>
        <w:ind w:right="-38" w:firstLine="420"/>
        <w:textAlignment w:val="center"/>
        <w:rPr>
          <w:szCs w:val="21"/>
        </w:rPr>
      </w:pPr>
      <w:r>
        <w:rPr>
          <w:szCs w:val="21"/>
        </w:rPr>
        <w:t>能源转换，是能源的能量形态和化学形态的变化，比如经过一定的工艺过程，将煤炭、重油等转换为电力和热力，将热能转换为机械能，将机械能转换为电能，将电能转换为热能等；又比如，经过裂化，将重质石油转换成轻质石油（转换前、后的物质具有不同的化学结构和化学性质）。</w:t>
      </w:r>
    </w:p>
    <w:p>
      <w:pPr>
        <w:spacing w:line="360" w:lineRule="exact"/>
        <w:ind w:right="-38" w:firstLine="420"/>
        <w:textAlignment w:val="center"/>
        <w:rPr>
          <w:szCs w:val="21"/>
        </w:rPr>
      </w:pPr>
      <w:r>
        <w:rPr>
          <w:szCs w:val="21"/>
        </w:rPr>
        <w:t>能源加工转换投入量，指以生产二次能源产品为目的而投入能源加工转换生产装置的能源（一般为一次能源）的数量。</w:t>
      </w:r>
    </w:p>
    <w:p>
      <w:pPr>
        <w:spacing w:line="360" w:lineRule="exact"/>
        <w:ind w:right="-38" w:firstLine="420"/>
        <w:textAlignment w:val="center"/>
        <w:rPr>
          <w:szCs w:val="21"/>
        </w:rPr>
      </w:pPr>
      <w:r>
        <w:rPr>
          <w:szCs w:val="21"/>
        </w:rPr>
        <w:t>用作能源加工转换的能源不能算作用于原材料。两者的区别是：用作加工转换，投入的是能源，产出的主要产品还是能源，或产出的产品属于加工转换过程中产生的不作能源使用的其他副产品和联产品。而用作原材料时，投入的是能源，产出的主要产品却是能源范畴以外的产品，包括产出的某种产品在广义上可以用作能源（比如可以燃烧以提供热量），但通常意义上不作能源使用的产品。</w:t>
      </w:r>
    </w:p>
    <w:p>
      <w:pPr>
        <w:spacing w:line="360" w:lineRule="exact"/>
        <w:ind w:right="-38" w:firstLine="420"/>
        <w:textAlignment w:val="center"/>
        <w:rPr>
          <w:szCs w:val="21"/>
        </w:rPr>
      </w:pPr>
      <w:r>
        <w:rPr>
          <w:szCs w:val="21"/>
        </w:rPr>
        <w:t>能源加工转换企业的能源投入量不包括：</w:t>
      </w:r>
    </w:p>
    <w:p>
      <w:pPr>
        <w:spacing w:line="360" w:lineRule="exact"/>
        <w:ind w:right="-38" w:firstLine="420"/>
        <w:textAlignment w:val="center"/>
        <w:rPr>
          <w:rFonts w:ascii="宋体" w:hAnsi="宋体" w:cs="宋体"/>
          <w:szCs w:val="21"/>
        </w:rPr>
      </w:pPr>
      <w:r>
        <w:rPr>
          <w:rFonts w:hint="eastAsia" w:ascii="宋体" w:hAnsi="宋体" w:cs="宋体"/>
          <w:szCs w:val="21"/>
        </w:rPr>
        <w:t>（1）加工转换本身的工艺用能，如发电厂的发电装置的电机用电、点火用燃料、车间通风设备用电及其他厂用电；炼焦厂的焦炉原料预热用的焦炉煤气、设备运转用电等；</w:t>
      </w:r>
    </w:p>
    <w:p>
      <w:pPr>
        <w:spacing w:line="360" w:lineRule="exact"/>
        <w:ind w:right="-38" w:firstLine="420"/>
        <w:textAlignment w:val="center"/>
        <w:rPr>
          <w:rFonts w:ascii="宋体" w:hAnsi="宋体" w:cs="宋体"/>
          <w:szCs w:val="21"/>
        </w:rPr>
      </w:pPr>
      <w:r>
        <w:rPr>
          <w:rFonts w:hint="eastAsia" w:ascii="宋体" w:hAnsi="宋体" w:cs="宋体"/>
          <w:szCs w:val="21"/>
        </w:rPr>
        <w:t>（2）车间用能；</w:t>
      </w:r>
    </w:p>
    <w:p>
      <w:pPr>
        <w:spacing w:line="360" w:lineRule="exact"/>
        <w:ind w:right="-38" w:firstLine="420"/>
        <w:textAlignment w:val="center"/>
        <w:rPr>
          <w:rFonts w:ascii="宋体" w:hAnsi="宋体" w:cs="宋体"/>
          <w:szCs w:val="21"/>
        </w:rPr>
      </w:pPr>
      <w:r>
        <w:rPr>
          <w:rFonts w:hint="eastAsia" w:ascii="宋体" w:hAnsi="宋体" w:cs="宋体"/>
          <w:szCs w:val="21"/>
        </w:rPr>
        <w:t>（3）辅助生产系统用能；</w:t>
      </w:r>
    </w:p>
    <w:p>
      <w:pPr>
        <w:spacing w:line="360" w:lineRule="exact"/>
        <w:ind w:right="-38" w:firstLine="420"/>
        <w:textAlignment w:val="center"/>
        <w:rPr>
          <w:rFonts w:ascii="宋体" w:hAnsi="宋体" w:cs="宋体"/>
          <w:szCs w:val="21"/>
        </w:rPr>
      </w:pPr>
      <w:r>
        <w:rPr>
          <w:rFonts w:hint="eastAsia" w:ascii="宋体" w:hAnsi="宋体" w:cs="宋体"/>
          <w:szCs w:val="21"/>
        </w:rPr>
        <w:t>（4）经营管理用能；</w:t>
      </w:r>
    </w:p>
    <w:p>
      <w:pPr>
        <w:spacing w:line="360" w:lineRule="exact"/>
        <w:ind w:right="-38" w:firstLine="420"/>
        <w:textAlignment w:val="center"/>
        <w:rPr>
          <w:szCs w:val="21"/>
        </w:rPr>
      </w:pPr>
      <w:r>
        <w:rPr>
          <w:rFonts w:hint="eastAsia" w:ascii="宋体" w:hAnsi="宋体" w:cs="宋体"/>
          <w:szCs w:val="21"/>
        </w:rPr>
        <w:t>（5）除</w:t>
      </w:r>
      <w:r>
        <w:rPr>
          <w:szCs w:val="21"/>
        </w:rPr>
        <w:t>上述项目以外的其他生产用能。</w:t>
      </w:r>
    </w:p>
    <w:p>
      <w:pPr>
        <w:spacing w:line="360" w:lineRule="exact"/>
        <w:ind w:firstLine="420" w:firstLineChars="200"/>
        <w:textAlignment w:val="center"/>
        <w:rPr>
          <w:szCs w:val="21"/>
        </w:rPr>
      </w:pPr>
      <w:r>
        <w:rPr>
          <w:rFonts w:eastAsia="黑体"/>
          <w:kern w:val="0"/>
          <w:szCs w:val="21"/>
        </w:rPr>
        <w:t xml:space="preserve">火力发电的加工转换投入  </w:t>
      </w:r>
      <w:r>
        <w:rPr>
          <w:kern w:val="0"/>
          <w:szCs w:val="21"/>
        </w:rPr>
        <w:t>指火力发</w:t>
      </w:r>
      <w:r>
        <w:rPr>
          <w:szCs w:val="21"/>
        </w:rPr>
        <w:t>电企业为发电而投入发电锅炉燃烧室的燃料数量。通常燃料主要有：煤炭、燃料油、天然气、焦炉煤气、高炉煤气、转炉煤气、生物质燃料、可燃废弃物和可燃垃圾等。</w:t>
      </w:r>
    </w:p>
    <w:p>
      <w:pPr>
        <w:spacing w:line="360" w:lineRule="exact"/>
        <w:ind w:firstLine="420" w:firstLineChars="200"/>
        <w:textAlignment w:val="center"/>
        <w:rPr>
          <w:szCs w:val="21"/>
        </w:rPr>
      </w:pPr>
      <w:r>
        <w:rPr>
          <w:rFonts w:eastAsia="黑体"/>
          <w:kern w:val="0"/>
          <w:szCs w:val="21"/>
        </w:rPr>
        <w:t>供热的加工转换投入</w:t>
      </w:r>
      <w:r>
        <w:rPr>
          <w:kern w:val="0"/>
          <w:szCs w:val="21"/>
        </w:rPr>
        <w:t xml:space="preserve">  </w:t>
      </w:r>
      <w:r>
        <w:rPr>
          <w:szCs w:val="21"/>
        </w:rPr>
        <w:t>指热力生产企业为生产热力而投入供热锅炉燃烧室的燃料数量，以及热电联产机组</w:t>
      </w:r>
      <w:r>
        <w:rPr>
          <w:rFonts w:hint="eastAsia"/>
          <w:szCs w:val="21"/>
        </w:rPr>
        <w:t>用于供热的</w:t>
      </w:r>
      <w:r>
        <w:rPr>
          <w:szCs w:val="21"/>
        </w:rPr>
        <w:t>燃料投入量。</w:t>
      </w:r>
    </w:p>
    <w:p>
      <w:pPr>
        <w:spacing w:line="360" w:lineRule="exact"/>
        <w:ind w:firstLine="420" w:firstLineChars="200"/>
        <w:textAlignment w:val="center"/>
        <w:rPr>
          <w:szCs w:val="21"/>
        </w:rPr>
      </w:pPr>
      <w:r>
        <w:rPr>
          <w:rFonts w:eastAsia="黑体"/>
          <w:kern w:val="0"/>
          <w:szCs w:val="21"/>
        </w:rPr>
        <w:t>原煤入洗的加工转换投入</w:t>
      </w:r>
      <w:r>
        <w:rPr>
          <w:kern w:val="0"/>
          <w:szCs w:val="21"/>
        </w:rPr>
        <w:t xml:space="preserve">  </w:t>
      </w:r>
      <w:r>
        <w:rPr>
          <w:szCs w:val="21"/>
        </w:rPr>
        <w:t>指洗煤企业为生产洗煤而投入煤炭洗选生产装置的原煤数量。</w:t>
      </w:r>
    </w:p>
    <w:p>
      <w:pPr>
        <w:spacing w:line="360" w:lineRule="exact"/>
        <w:ind w:firstLine="420" w:firstLineChars="200"/>
        <w:textAlignment w:val="center"/>
        <w:rPr>
          <w:szCs w:val="21"/>
        </w:rPr>
      </w:pPr>
      <w:r>
        <w:rPr>
          <w:rFonts w:eastAsia="黑体"/>
          <w:szCs w:val="21"/>
        </w:rPr>
        <w:t xml:space="preserve">炼焦的加工转换投入  </w:t>
      </w:r>
      <w:r>
        <w:rPr>
          <w:szCs w:val="21"/>
        </w:rPr>
        <w:t>指焦化企业为生产焦化产品而投入炼焦生产设备的煤炭（原煤、洗煤）数量。</w:t>
      </w:r>
    </w:p>
    <w:p>
      <w:pPr>
        <w:spacing w:line="360" w:lineRule="exact"/>
        <w:ind w:right="-38" w:firstLine="420"/>
        <w:textAlignment w:val="center"/>
        <w:rPr>
          <w:szCs w:val="21"/>
        </w:rPr>
      </w:pPr>
      <w:r>
        <w:rPr>
          <w:rFonts w:eastAsia="黑体"/>
          <w:kern w:val="0"/>
          <w:szCs w:val="21"/>
        </w:rPr>
        <w:t>炼油及煤制油的加工转换投入</w:t>
      </w:r>
      <w:r>
        <w:rPr>
          <w:kern w:val="0"/>
          <w:szCs w:val="21"/>
        </w:rPr>
        <w:t xml:space="preserve">  </w:t>
      </w:r>
      <w:r>
        <w:rPr>
          <w:rFonts w:hint="eastAsia"/>
          <w:kern w:val="0"/>
          <w:szCs w:val="21"/>
        </w:rPr>
        <w:t>炼油加工转换投入是</w:t>
      </w:r>
      <w:r>
        <w:rPr>
          <w:kern w:val="0"/>
          <w:szCs w:val="21"/>
        </w:rPr>
        <w:t>指炼油厂为生产成品油和其他石油制品而投入炼油生产装置的原油或其他原料油数量。</w:t>
      </w:r>
      <w:r>
        <w:rPr>
          <w:szCs w:val="21"/>
        </w:rPr>
        <w:t>煤制油</w:t>
      </w:r>
      <w:r>
        <w:rPr>
          <w:kern w:val="0"/>
          <w:szCs w:val="21"/>
        </w:rPr>
        <w:t>加工转换</w:t>
      </w:r>
      <w:r>
        <w:rPr>
          <w:szCs w:val="21"/>
        </w:rPr>
        <w:t>投入是指煤化工企业以生产成品油为目的而投入煤制油化工生产装置的煤炭（原煤、洗煤）数量。煤制油是以煤炭为原料，通过化学加工过程生产成品油的一项技术，包含煤直接液化和煤间接液化两种技术路线。煤的直接液化</w:t>
      </w:r>
      <w:r>
        <w:rPr>
          <w:rFonts w:hint="eastAsia"/>
          <w:szCs w:val="21"/>
        </w:rPr>
        <w:t>是指</w:t>
      </w:r>
      <w:r>
        <w:rPr>
          <w:szCs w:val="21"/>
        </w:rPr>
        <w:t>将煤在高温高压条件下，通过催化加氢直接液化合成液态烃类燃料，并脱除硫、氮、氧等原子。煤的间接液化</w:t>
      </w:r>
      <w:r>
        <w:rPr>
          <w:rFonts w:hint="eastAsia"/>
          <w:szCs w:val="21"/>
        </w:rPr>
        <w:t>是</w:t>
      </w:r>
      <w:r>
        <w:rPr>
          <w:szCs w:val="21"/>
        </w:rPr>
        <w:t>首先把煤气化，再通过费托合成转化为烃类燃料。</w:t>
      </w:r>
    </w:p>
    <w:p>
      <w:pPr>
        <w:spacing w:line="360" w:lineRule="exact"/>
        <w:ind w:right="-38" w:firstLine="420"/>
        <w:textAlignment w:val="center"/>
        <w:rPr>
          <w:szCs w:val="21"/>
        </w:rPr>
      </w:pPr>
      <w:r>
        <w:rPr>
          <w:rFonts w:eastAsia="黑体"/>
          <w:kern w:val="0"/>
          <w:szCs w:val="21"/>
        </w:rPr>
        <w:t>制气的加工转换投入</w:t>
      </w:r>
      <w:r>
        <w:rPr>
          <w:kern w:val="0"/>
          <w:szCs w:val="21"/>
        </w:rPr>
        <w:t xml:space="preserve">  指</w:t>
      </w:r>
      <w:r>
        <w:rPr>
          <w:szCs w:val="21"/>
        </w:rPr>
        <w:t>煤气生产</w:t>
      </w:r>
      <w:r>
        <w:rPr>
          <w:rFonts w:hint="eastAsia"/>
          <w:szCs w:val="21"/>
        </w:rPr>
        <w:t>、天然气和</w:t>
      </w:r>
      <w:r>
        <w:rPr>
          <w:szCs w:val="21"/>
        </w:rPr>
        <w:t>氢气制备企业为生产</w:t>
      </w:r>
      <w:r>
        <w:rPr>
          <w:rFonts w:hint="eastAsia"/>
          <w:szCs w:val="21"/>
        </w:rPr>
        <w:t>煤气</w:t>
      </w:r>
      <w:r>
        <w:rPr>
          <w:szCs w:val="21"/>
        </w:rPr>
        <w:t>、</w:t>
      </w:r>
      <w:r>
        <w:rPr>
          <w:rFonts w:hint="eastAsia"/>
          <w:szCs w:val="21"/>
        </w:rPr>
        <w:t>制取</w:t>
      </w:r>
      <w:r>
        <w:rPr>
          <w:szCs w:val="21"/>
        </w:rPr>
        <w:t>天然</w:t>
      </w:r>
      <w:r>
        <w:rPr>
          <w:rFonts w:hint="eastAsia"/>
          <w:szCs w:val="21"/>
        </w:rPr>
        <w:t>气和</w:t>
      </w:r>
      <w:r>
        <w:rPr>
          <w:szCs w:val="21"/>
        </w:rPr>
        <w:t>氢气而投入生产装置的煤炭、焦炭、燃料油</w:t>
      </w:r>
      <w:r>
        <w:rPr>
          <w:rFonts w:hint="eastAsia"/>
          <w:szCs w:val="21"/>
        </w:rPr>
        <w:t>、</w:t>
      </w:r>
      <w:r>
        <w:rPr>
          <w:szCs w:val="21"/>
        </w:rPr>
        <w:t>天然气等能源产品数量。</w:t>
      </w:r>
    </w:p>
    <w:p>
      <w:pPr>
        <w:spacing w:line="360" w:lineRule="exact"/>
        <w:ind w:right="-38" w:firstLine="420"/>
        <w:textAlignment w:val="center"/>
        <w:rPr>
          <w:szCs w:val="21"/>
        </w:rPr>
      </w:pPr>
      <w:r>
        <w:rPr>
          <w:rFonts w:eastAsia="黑体"/>
          <w:kern w:val="0"/>
          <w:szCs w:val="21"/>
        </w:rPr>
        <w:t>天然气液化的加工转换投入</w:t>
      </w:r>
      <w:r>
        <w:rPr>
          <w:kern w:val="0"/>
          <w:szCs w:val="21"/>
        </w:rPr>
        <w:t xml:space="preserve">  </w:t>
      </w:r>
      <w:r>
        <w:rPr>
          <w:szCs w:val="21"/>
        </w:rPr>
        <w:t>指天然气液化企业为生产液态天然气而投入天然气液化装置的天然气数量。</w:t>
      </w:r>
    </w:p>
    <w:p>
      <w:pPr>
        <w:spacing w:line="360" w:lineRule="exact"/>
        <w:ind w:right="-38" w:firstLine="420"/>
        <w:textAlignment w:val="center"/>
        <w:rPr>
          <w:kern w:val="0"/>
          <w:szCs w:val="21"/>
        </w:rPr>
      </w:pPr>
      <w:r>
        <w:rPr>
          <w:rFonts w:eastAsia="黑体"/>
          <w:kern w:val="0"/>
          <w:szCs w:val="21"/>
        </w:rPr>
        <w:t>煤制品加工的加工转换投入</w:t>
      </w:r>
      <w:r>
        <w:rPr>
          <w:kern w:val="0"/>
          <w:szCs w:val="21"/>
        </w:rPr>
        <w:t xml:space="preserve">  指煤制品生产企业，在不改变煤炭基本属性的情况下，为生产型煤（煤球、煤饼、蜂窝煤）、煤粉、水煤浆等煤制品而使用的原煤或其他煤炭产品的数量。</w:t>
      </w:r>
    </w:p>
    <w:p>
      <w:pPr>
        <w:spacing w:line="360" w:lineRule="exact"/>
        <w:ind w:right="-38" w:firstLine="420"/>
        <w:textAlignment w:val="center"/>
        <w:rPr>
          <w:szCs w:val="21"/>
        </w:rPr>
      </w:pPr>
      <w:r>
        <w:rPr>
          <w:rFonts w:eastAsia="黑体"/>
          <w:bCs/>
          <w:szCs w:val="21"/>
        </w:rPr>
        <w:t xml:space="preserve">能源加工转换产出量  </w:t>
      </w:r>
      <w:r>
        <w:rPr>
          <w:szCs w:val="21"/>
        </w:rPr>
        <w:t>指一次能源经过加工转换产出的二次能源产品（包括不作能源使用的其他副产品和联产品）的数量，比如火力发电产出的电力，热电联产同时产出的电力、蒸汽、热水，原煤</w:t>
      </w:r>
      <w:r>
        <w:rPr>
          <w:rFonts w:hint="eastAsia"/>
          <w:szCs w:val="21"/>
        </w:rPr>
        <w:t>入洗</w:t>
      </w:r>
      <w:r>
        <w:rPr>
          <w:szCs w:val="21"/>
        </w:rPr>
        <w:t>产出的洗精煤、洗中煤、洗煤泥等，炼焦产出的焦炭、焦炉煤气和其他焦化产品（煤焦油、粗苯等），炼油和煤制油产出的汽油、煤油、柴油、燃料油、液化石油气、炼厂干气 、石脑油、润滑油、石蜡、溶剂油、石油焦、石油沥青等，制气产出的发生炉煤气、其他焦化产品（煤焦油、粗苯等）</w:t>
      </w:r>
      <w:r>
        <w:rPr>
          <w:rFonts w:hint="eastAsia"/>
          <w:szCs w:val="21"/>
        </w:rPr>
        <w:t>、天然气和氢气</w:t>
      </w:r>
      <w:r>
        <w:rPr>
          <w:szCs w:val="21"/>
        </w:rPr>
        <w:t>等。</w:t>
      </w:r>
    </w:p>
    <w:p>
      <w:pPr>
        <w:spacing w:line="360" w:lineRule="exact"/>
        <w:ind w:right="-38" w:firstLine="420"/>
        <w:textAlignment w:val="center"/>
      </w:pPr>
      <w:r>
        <w:rPr>
          <w:rFonts w:eastAsia="黑体"/>
          <w:bCs/>
        </w:rPr>
        <w:t>能源加工转换损失量</w:t>
      </w:r>
      <w:r>
        <w:rPr>
          <w:rFonts w:eastAsia="黑体"/>
          <w:b/>
          <w:bCs/>
        </w:rPr>
        <w:t xml:space="preserve">  </w:t>
      </w:r>
      <w:r>
        <w:t>指能源在加工、转换过程中的各种损失量，计算</w:t>
      </w:r>
      <w:r>
        <w:rPr>
          <w:rFonts w:hint="eastAsia"/>
        </w:rPr>
        <w:t>公</w:t>
      </w:r>
      <w:r>
        <w:t>式如下：</w:t>
      </w:r>
    </w:p>
    <w:p>
      <w:pPr>
        <w:spacing w:line="360" w:lineRule="exact"/>
        <w:ind w:right="-38" w:firstLine="420"/>
        <w:textAlignment w:val="center"/>
      </w:pPr>
      <w:r>
        <w:t>能源加工转换损失量</w:t>
      </w:r>
      <w:r>
        <w:rPr>
          <w:rFonts w:hint="eastAsia"/>
          <w:szCs w:val="21"/>
        </w:rPr>
        <w:t>＝</w:t>
      </w:r>
      <w:r>
        <w:t>能源加工、转换过程中投入的能源数量</w:t>
      </w:r>
      <w:r>
        <w:rPr>
          <w:rFonts w:hint="eastAsia"/>
        </w:rPr>
        <w:t>－</w:t>
      </w:r>
      <w:r>
        <w:t>产出的能源数量</w:t>
      </w:r>
    </w:p>
    <w:p>
      <w:pPr>
        <w:spacing w:line="360" w:lineRule="exact"/>
        <w:ind w:right="-38" w:firstLine="420"/>
        <w:textAlignment w:val="center"/>
        <w:rPr>
          <w:rFonts w:eastAsia="黑体"/>
          <w:b/>
          <w:bCs/>
        </w:rPr>
      </w:pPr>
      <w:r>
        <w:t>在计算能源加工、转换损失量时，需要将加工、转换的投入量和产出量分别折算为标准燃料，如标准煤。</w:t>
      </w:r>
    </w:p>
    <w:p>
      <w:pPr>
        <w:pStyle w:val="10"/>
        <w:adjustRightInd w:val="0"/>
        <w:spacing w:line="360" w:lineRule="exact"/>
        <w:ind w:firstLine="411" w:firstLineChars="196"/>
        <w:textAlignment w:val="center"/>
        <w:rPr>
          <w:rFonts w:ascii="Times New Roman" w:hAnsi="Times New Roman" w:cs="Times New Roman"/>
        </w:rPr>
      </w:pPr>
      <w:r>
        <w:rPr>
          <w:rFonts w:ascii="Times New Roman" w:hAnsi="Times New Roman" w:eastAsia="黑体" w:cs="Times New Roman"/>
          <w:bCs/>
        </w:rPr>
        <w:t xml:space="preserve">工业企业回收能利用  </w:t>
      </w:r>
      <w:r>
        <w:rPr>
          <w:rFonts w:ascii="Times New Roman" w:hAnsi="Times New Roman" w:cs="Times New Roman"/>
        </w:rPr>
        <w:t>指企业将废气、废液、废渣及其余热，产品和工艺生产介质余热，工艺温差、压差，以及其他非直接投入的能量形态和能量物质，作为能源进行使用的数量。目前工业企业回收的能量，绝大部分来自企业曾经投入使用的能源物质，很小部分来自其他物质在生产工艺过程中释放的能量（比如非能源物质的化学反应热）。所以，目前企业回收能利用量，只在报表中的高炉煤气、转炉煤气和余热余压目录中填报；其他目录均不得填报；企业的综合能源消费量不得出现负值。</w:t>
      </w:r>
    </w:p>
    <w:p>
      <w:pPr>
        <w:spacing w:beforeLines="200" w:afterLines="100" w:line="360" w:lineRule="exact"/>
        <w:jc w:val="center"/>
        <w:outlineLvl w:val="1"/>
        <w:rPr>
          <w:rFonts w:ascii="宋体" w:hAnsi="宋体" w:cs="宋体"/>
          <w:sz w:val="28"/>
          <w:szCs w:val="28"/>
        </w:rPr>
      </w:pPr>
      <w:r>
        <w:rPr>
          <w:rFonts w:eastAsia="黑体"/>
          <w:sz w:val="28"/>
          <w:szCs w:val="28"/>
        </w:rPr>
        <w:t>（三）主要耗能工业企业单位产品能源消</w:t>
      </w:r>
      <w:r>
        <w:rPr>
          <w:rFonts w:hint="eastAsia" w:eastAsia="黑体"/>
          <w:sz w:val="28"/>
          <w:szCs w:val="28"/>
        </w:rPr>
        <w:t>费</w:t>
      </w:r>
      <w:r>
        <w:rPr>
          <w:rFonts w:eastAsia="黑体"/>
          <w:sz w:val="28"/>
          <w:szCs w:val="28"/>
        </w:rPr>
        <w:t>情况</w:t>
      </w:r>
      <w:r>
        <w:rPr>
          <w:rFonts w:hint="eastAsia" w:ascii="宋体" w:hAnsi="宋体" w:cs="宋体"/>
          <w:sz w:val="28"/>
          <w:szCs w:val="28"/>
        </w:rPr>
        <w:t>（205-3表）</w:t>
      </w:r>
    </w:p>
    <w:p>
      <w:pPr>
        <w:spacing w:line="360" w:lineRule="exact"/>
        <w:ind w:firstLine="420" w:firstLineChars="200"/>
        <w:rPr>
          <w:rFonts w:eastAsia="黑体"/>
          <w:bCs/>
          <w:szCs w:val="21"/>
        </w:rPr>
      </w:pPr>
      <w:r>
        <w:rPr>
          <w:rFonts w:eastAsia="黑体"/>
          <w:bCs/>
          <w:szCs w:val="21"/>
        </w:rPr>
        <w:t>煤炭</w:t>
      </w:r>
      <w:r>
        <w:rPr>
          <w:rFonts w:hint="eastAsia" w:ascii="宋体" w:hAnsi="宋体" w:cs="宋体"/>
          <w:bCs/>
          <w:szCs w:val="21"/>
        </w:rPr>
        <w:t>（06）</w:t>
      </w:r>
    </w:p>
    <w:p>
      <w:pPr>
        <w:spacing w:line="360" w:lineRule="exact"/>
        <w:ind w:firstLine="420" w:firstLineChars="200"/>
        <w:rPr>
          <w:szCs w:val="21"/>
        </w:rPr>
      </w:pPr>
      <w:r>
        <w:rPr>
          <w:rFonts w:eastAsia="黑体"/>
          <w:bCs/>
          <w:szCs w:val="21"/>
        </w:rPr>
        <w:t xml:space="preserve">吨原煤生产综合能耗 </w:t>
      </w:r>
    </w:p>
    <w:p>
      <w:pPr>
        <w:spacing w:line="360" w:lineRule="exact"/>
        <w:ind w:left="5313" w:leftChars="200" w:hanging="4893" w:hangingChars="2330"/>
        <w:rPr>
          <w:szCs w:val="21"/>
        </w:rPr>
      </w:pPr>
      <w:r>
        <w:rPr>
          <w:szCs w:val="21"/>
        </w:rPr>
        <w:t>计算公式：吨原煤生产综合能耗（千克标准煤/吨）＝</w:t>
      </w:r>
      <w:r>
        <w:rPr>
          <w:rFonts w:hint="eastAsia" w:ascii="宋体" w:hAnsi="宋体" w:cs="宋体"/>
          <w:szCs w:val="21"/>
        </w:rPr>
        <w:t>1000×</w:t>
      </w:r>
      <w:r>
        <w:rPr>
          <w:szCs w:val="21"/>
        </w:rPr>
        <w:t>原煤生产综合能源消费量（吨标准煤）</w:t>
      </w:r>
      <w:r>
        <w:rPr>
          <w:rFonts w:hint="eastAsia" w:ascii="宋体" w:hAnsi="宋体" w:cs="宋体"/>
          <w:szCs w:val="21"/>
        </w:rPr>
        <w:t>/</w:t>
      </w:r>
      <w:r>
        <w:rPr>
          <w:szCs w:val="21"/>
        </w:rPr>
        <w:t>原煤产量（吨）</w:t>
      </w:r>
    </w:p>
    <w:p>
      <w:pPr>
        <w:spacing w:line="360" w:lineRule="exact"/>
        <w:ind w:firstLine="420" w:firstLineChars="200"/>
        <w:rPr>
          <w:szCs w:val="21"/>
        </w:rPr>
      </w:pPr>
      <w:r>
        <w:rPr>
          <w:szCs w:val="21"/>
        </w:rPr>
        <w:t>分子项：原煤生产综合能源消费量。指企业原煤生产所消费的各种能源。</w:t>
      </w:r>
    </w:p>
    <w:p>
      <w:pPr>
        <w:spacing w:line="360" w:lineRule="exact"/>
        <w:ind w:firstLine="420" w:firstLineChars="200"/>
        <w:rPr>
          <w:szCs w:val="21"/>
        </w:rPr>
      </w:pPr>
      <w:r>
        <w:rPr>
          <w:szCs w:val="21"/>
        </w:rPr>
        <w:t>主要包括：矿井（或露天）原煤生产过程中的回采、掘进（剥离）、运输（不包括为矿区服务的大铁路运输）、提升、通风、排水、压风、坑木加工、瓦斯抽放、消火灌浆、井口选矸、矿井采暖、水砂充填、矿灯充电、矿机修、工业照明、工业供水等用能，以及与上述有关的电力线路和变压器的电损。</w:t>
      </w:r>
    </w:p>
    <w:p>
      <w:pPr>
        <w:spacing w:line="360" w:lineRule="exact"/>
        <w:ind w:firstLine="420" w:firstLineChars="200"/>
        <w:rPr>
          <w:szCs w:val="21"/>
        </w:rPr>
      </w:pPr>
      <w:r>
        <w:rPr>
          <w:szCs w:val="21"/>
        </w:rPr>
        <w:t>不包括：非原煤生产、非生产部门、基本建设工程等用能和生活用能。</w:t>
      </w:r>
    </w:p>
    <w:p>
      <w:pPr>
        <w:spacing w:line="360" w:lineRule="exact"/>
        <w:ind w:firstLine="420" w:firstLineChars="200"/>
        <w:rPr>
          <w:szCs w:val="21"/>
        </w:rPr>
      </w:pPr>
      <w:r>
        <w:rPr>
          <w:szCs w:val="21"/>
        </w:rPr>
        <w:t>非原煤生产用能量，指煤矿企业附属的其他工业产品生产用能量。如选煤厂、机修厂、运输队、建材厂、火药厂、化工厂、支架厂、钢铁厂、综合利用厂等用能和由各种专用基金支付的工程（如大修理、更新改造工程等）用能，以及与上述有关的电力线路和变压器的电损。</w:t>
      </w:r>
    </w:p>
    <w:p>
      <w:pPr>
        <w:spacing w:line="360" w:lineRule="exact"/>
        <w:ind w:firstLine="420" w:firstLineChars="200"/>
        <w:rPr>
          <w:szCs w:val="21"/>
        </w:rPr>
      </w:pPr>
      <w:r>
        <w:rPr>
          <w:szCs w:val="21"/>
        </w:rPr>
        <w:t>非生产部门用能，指煤矿企业的非生产部门用能量，如学校、托儿所、幼儿园、机关职工食堂、住宅区浴室、消防队等用能，以及与上述有关的电力线路和变压器的电损。</w:t>
      </w:r>
    </w:p>
    <w:p>
      <w:pPr>
        <w:spacing w:line="360" w:lineRule="exact"/>
        <w:ind w:firstLine="420" w:firstLineChars="200"/>
        <w:rPr>
          <w:szCs w:val="21"/>
        </w:rPr>
      </w:pPr>
      <w:r>
        <w:rPr>
          <w:szCs w:val="21"/>
        </w:rPr>
        <w:t>基本建设工程用能，指企业内基本建设工程用能量，以及与上述有关的电力线路和变压器的电损。</w:t>
      </w:r>
    </w:p>
    <w:p>
      <w:pPr>
        <w:spacing w:line="360" w:lineRule="exact"/>
        <w:ind w:firstLine="420" w:firstLineChars="200"/>
        <w:rPr>
          <w:szCs w:val="21"/>
        </w:rPr>
      </w:pPr>
      <w:r>
        <w:rPr>
          <w:szCs w:val="21"/>
        </w:rPr>
        <w:t>分母项：原煤产量。指矿井产量、露天矿产量和其他产量。</w:t>
      </w:r>
    </w:p>
    <w:p>
      <w:pPr>
        <w:spacing w:line="360" w:lineRule="exact"/>
        <w:ind w:firstLine="375" w:firstLineChars="179"/>
        <w:rPr>
          <w:szCs w:val="21"/>
        </w:rPr>
      </w:pPr>
      <w:r>
        <w:rPr>
          <w:rFonts w:hint="eastAsia" w:ascii="宋体" w:hAnsi="宋体" w:cs="宋体"/>
          <w:szCs w:val="21"/>
        </w:rPr>
        <w:t>（1）</w:t>
      </w:r>
      <w:r>
        <w:rPr>
          <w:szCs w:val="21"/>
        </w:rPr>
        <w:t>矿井产量，指回采产量、掘进产量和矿井其他产量。</w:t>
      </w:r>
    </w:p>
    <w:p>
      <w:pPr>
        <w:spacing w:line="360" w:lineRule="exact"/>
        <w:ind w:firstLine="420" w:firstLineChars="200"/>
        <w:rPr>
          <w:szCs w:val="21"/>
        </w:rPr>
      </w:pPr>
      <w:r>
        <w:rPr>
          <w:rFonts w:hint="eastAsia" w:ascii="宋体" w:hAnsi="宋体" w:cs="宋体"/>
          <w:szCs w:val="21"/>
        </w:rPr>
        <w:t>①</w:t>
      </w:r>
      <w:r>
        <w:rPr>
          <w:szCs w:val="21"/>
        </w:rPr>
        <w:t>回采产量，指生产矿井中全部回采工作面所采出的煤炭产量。但下列情况应区别处理：</w:t>
      </w:r>
    </w:p>
    <w:p>
      <w:pPr>
        <w:spacing w:line="360" w:lineRule="exact"/>
        <w:rPr>
          <w:szCs w:val="21"/>
        </w:rPr>
      </w:pPr>
      <w:r>
        <w:rPr>
          <w:szCs w:val="21"/>
        </w:rPr>
        <w:t>矿井未正式移交之前，对准备出煤的回采工作面进行实际采煤，其采煤量应计为基建工程煤；</w:t>
      </w:r>
    </w:p>
    <w:p>
      <w:pPr>
        <w:spacing w:line="360" w:lineRule="exact"/>
        <w:rPr>
          <w:szCs w:val="21"/>
        </w:rPr>
      </w:pPr>
      <w:r>
        <w:rPr>
          <w:szCs w:val="21"/>
        </w:rPr>
        <w:t>列入科研计划的新采煤方法试验面和使用新机试采面的出煤，应计为矿井其他产量。</w:t>
      </w:r>
    </w:p>
    <w:p>
      <w:pPr>
        <w:spacing w:line="360" w:lineRule="exact"/>
        <w:rPr>
          <w:szCs w:val="21"/>
        </w:rPr>
      </w:pPr>
      <w:r>
        <w:rPr>
          <w:szCs w:val="21"/>
        </w:rPr>
        <w:t>已完成掘进，在回采过程中掘凿的巷道（一般称</w:t>
      </w:r>
      <w:r>
        <w:rPr>
          <w:rFonts w:hint="eastAsia" w:ascii="宋体" w:hAnsi="宋体" w:cs="宋体"/>
          <w:szCs w:val="21"/>
        </w:rPr>
        <w:t>“</w:t>
      </w:r>
      <w:r>
        <w:rPr>
          <w:szCs w:val="21"/>
        </w:rPr>
        <w:t>采后掘进</w:t>
      </w:r>
      <w:r>
        <w:rPr>
          <w:rFonts w:hint="eastAsia" w:ascii="宋体" w:hAnsi="宋体" w:cs="宋体"/>
          <w:szCs w:val="21"/>
        </w:rPr>
        <w:t>”</w:t>
      </w:r>
      <w:r>
        <w:rPr>
          <w:szCs w:val="21"/>
        </w:rPr>
        <w:t>）出煤，应计为回采产量；</w:t>
      </w:r>
    </w:p>
    <w:p>
      <w:pPr>
        <w:spacing w:line="360" w:lineRule="exact"/>
        <w:rPr>
          <w:szCs w:val="21"/>
        </w:rPr>
      </w:pPr>
      <w:r>
        <w:rPr>
          <w:szCs w:val="21"/>
        </w:rPr>
        <w:t>对已报废的矿井进行复采，由原煤生产费负担的，计入矿井其他产量。</w:t>
      </w:r>
    </w:p>
    <w:p>
      <w:pPr>
        <w:spacing w:line="360" w:lineRule="exact"/>
        <w:ind w:firstLine="420" w:firstLineChars="200"/>
        <w:rPr>
          <w:rFonts w:ascii="宋体" w:hAnsi="宋体" w:cs="宋体"/>
          <w:szCs w:val="21"/>
        </w:rPr>
      </w:pPr>
      <w:r>
        <w:rPr>
          <w:rFonts w:hint="eastAsia" w:ascii="宋体" w:hAnsi="宋体" w:cs="宋体"/>
          <w:szCs w:val="21"/>
        </w:rPr>
        <w:t>②掘进产量，指在生产矿井中由生产费用负担的生产掘进巷道的出煤。不包括由更改资金进行的掘进工作出煤和井巷维修工作出煤。对采掘产量混在一起分不清的，以下式计算：</w:t>
      </w:r>
    </w:p>
    <w:p>
      <w:pPr>
        <w:spacing w:line="360" w:lineRule="exact"/>
        <w:ind w:firstLine="420" w:firstLineChars="200"/>
        <w:rPr>
          <w:rFonts w:ascii="宋体" w:hAnsi="宋体" w:cs="宋体"/>
          <w:szCs w:val="21"/>
        </w:rPr>
      </w:pPr>
      <w:r>
        <w:rPr>
          <w:rFonts w:hint="eastAsia" w:ascii="宋体" w:hAnsi="宋体" w:cs="宋体"/>
          <w:szCs w:val="21"/>
        </w:rPr>
        <w:t>掘进产量（吨）＝煤巷及半煤巷的煤断面（平方米）×进尺（米）×煤的容重（吨/立方米）</w:t>
      </w:r>
    </w:p>
    <w:p>
      <w:pPr>
        <w:spacing w:line="360" w:lineRule="exact"/>
        <w:ind w:firstLine="420" w:firstLineChars="200"/>
        <w:rPr>
          <w:rFonts w:ascii="宋体" w:hAnsi="宋体" w:cs="宋体"/>
          <w:szCs w:val="21"/>
        </w:rPr>
      </w:pPr>
      <w:r>
        <w:rPr>
          <w:rFonts w:hint="eastAsia" w:ascii="宋体" w:hAnsi="宋体" w:cs="宋体"/>
          <w:szCs w:val="21"/>
        </w:rPr>
        <w:t>③矿井其他产量，指生产矿井回采和掘进产量以外的其他产量，主要包括井巷维修出煤，已报废矿井复采后所出的煤，质量不合格经处理后合格的回收煤，科研试采出煤，出井无牌煤，水砂充填或水采矿井扫沉淀的煤泥，盘点发生的盈（亏）吨煤，以及由生产费用开支不计能力的矿井产量。</w:t>
      </w:r>
    </w:p>
    <w:p>
      <w:pPr>
        <w:spacing w:line="360" w:lineRule="exact"/>
        <w:ind w:firstLine="420" w:firstLineChars="200"/>
        <w:rPr>
          <w:rFonts w:ascii="宋体" w:hAnsi="宋体" w:cs="宋体"/>
          <w:szCs w:val="21"/>
        </w:rPr>
      </w:pPr>
      <w:r>
        <w:rPr>
          <w:rFonts w:hint="eastAsia" w:ascii="宋体" w:hAnsi="宋体" w:cs="宋体"/>
          <w:szCs w:val="21"/>
        </w:rPr>
        <w:t>（2）露天矿产量，指露天煤矿采煤阶段的煤炭产量、剥离阶段的煤炭产量和露天矿其他产量。</w:t>
      </w:r>
    </w:p>
    <w:p>
      <w:pPr>
        <w:spacing w:line="360" w:lineRule="exact"/>
        <w:ind w:firstLine="420" w:firstLineChars="200"/>
        <w:rPr>
          <w:rFonts w:ascii="宋体" w:hAnsi="宋体" w:cs="宋体"/>
          <w:szCs w:val="21"/>
        </w:rPr>
      </w:pPr>
      <w:r>
        <w:rPr>
          <w:rFonts w:hint="eastAsia" w:ascii="宋体" w:hAnsi="宋体" w:cs="宋体"/>
          <w:szCs w:val="21"/>
        </w:rPr>
        <w:t>露天矿其他产量，指露天采煤阶段和剥离阶段以外的其他产量。主要包括由生产费用开支的不计能力的露天产量，由排土场回收的拣煤量，露天坑内的残煤回收量。</w:t>
      </w:r>
    </w:p>
    <w:p>
      <w:pPr>
        <w:spacing w:line="360" w:lineRule="exact"/>
        <w:ind w:firstLine="420" w:firstLineChars="200"/>
        <w:rPr>
          <w:rFonts w:ascii="宋体" w:hAnsi="宋体" w:cs="宋体"/>
          <w:szCs w:val="21"/>
        </w:rPr>
      </w:pPr>
      <w:r>
        <w:rPr>
          <w:rFonts w:hint="eastAsia" w:ascii="宋体" w:hAnsi="宋体" w:cs="宋体"/>
          <w:szCs w:val="21"/>
        </w:rPr>
        <w:t>（3）其他产量，指不由原煤生产费用开支的出煤，主要包括基建工程煤、更改工程煤、不计能力的小井和小露天矿出煤。</w:t>
      </w:r>
    </w:p>
    <w:p>
      <w:pPr>
        <w:spacing w:line="360" w:lineRule="exact"/>
        <w:ind w:firstLine="420" w:firstLineChars="200"/>
        <w:rPr>
          <w:rFonts w:ascii="宋体" w:hAnsi="宋体" w:cs="宋体"/>
          <w:szCs w:val="21"/>
        </w:rPr>
      </w:pPr>
      <w:r>
        <w:rPr>
          <w:rFonts w:hint="eastAsia" w:ascii="宋体" w:hAnsi="宋体" w:cs="宋体"/>
          <w:szCs w:val="21"/>
        </w:rPr>
        <w:t>①基建工程煤，指基本建设矿井、露天矿在没有移交生产以前的工程出煤和试生产期间的煤炭产量。</w:t>
      </w:r>
    </w:p>
    <w:p>
      <w:pPr>
        <w:spacing w:line="360" w:lineRule="exact"/>
        <w:ind w:firstLine="420" w:firstLineChars="200"/>
        <w:rPr>
          <w:rFonts w:ascii="宋体" w:hAnsi="宋体" w:cs="宋体"/>
          <w:szCs w:val="21"/>
        </w:rPr>
      </w:pPr>
      <w:r>
        <w:rPr>
          <w:rFonts w:hint="eastAsia" w:ascii="宋体" w:hAnsi="宋体" w:cs="宋体"/>
          <w:szCs w:val="21"/>
        </w:rPr>
        <w:t>②更改工程煤，指在生产矿井中用更改资金进行掘进工作所产出的煤。</w:t>
      </w:r>
    </w:p>
    <w:p>
      <w:pPr>
        <w:spacing w:line="360" w:lineRule="exact"/>
        <w:ind w:firstLine="420" w:firstLineChars="200"/>
        <w:rPr>
          <w:rFonts w:ascii="宋体" w:hAnsi="宋体" w:cs="宋体"/>
          <w:szCs w:val="21"/>
        </w:rPr>
      </w:pPr>
      <w:r>
        <w:rPr>
          <w:rFonts w:hint="eastAsia" w:ascii="宋体" w:hAnsi="宋体" w:cs="宋体"/>
          <w:szCs w:val="21"/>
        </w:rPr>
        <w:t>③不计能力的小井、小露天矿产量，指年生产能力三万吨以下的小井、小露天矿产量。</w:t>
      </w:r>
    </w:p>
    <w:p>
      <w:pPr>
        <w:spacing w:line="360" w:lineRule="exact"/>
        <w:ind w:firstLine="420" w:firstLineChars="200"/>
        <w:rPr>
          <w:rFonts w:ascii="宋体" w:hAnsi="宋体" w:cs="宋体"/>
          <w:szCs w:val="21"/>
        </w:rPr>
      </w:pPr>
      <w:r>
        <w:rPr>
          <w:rFonts w:hint="eastAsia" w:ascii="宋体" w:hAnsi="宋体" w:cs="宋体"/>
          <w:bCs/>
          <w:szCs w:val="21"/>
        </w:rPr>
        <w:t xml:space="preserve">吨原煤生产耗电量  </w:t>
      </w:r>
    </w:p>
    <w:p>
      <w:pPr>
        <w:spacing w:line="360" w:lineRule="exact"/>
        <w:ind w:left="1438" w:leftChars="200" w:hanging="1018" w:hangingChars="485"/>
        <w:rPr>
          <w:rFonts w:ascii="宋体" w:hAnsi="宋体" w:cs="宋体"/>
          <w:szCs w:val="21"/>
        </w:rPr>
      </w:pPr>
      <w:r>
        <w:rPr>
          <w:rFonts w:hint="eastAsia" w:ascii="宋体" w:hAnsi="宋体" w:cs="宋体"/>
          <w:szCs w:val="21"/>
        </w:rPr>
        <w:t>计算公式：吨原煤生产耗电量（千瓦时/吨）＝10000×原煤生产用电量（万千瓦时）/原煤产量（吨）</w:t>
      </w:r>
    </w:p>
    <w:p>
      <w:pPr>
        <w:spacing w:line="360" w:lineRule="exact"/>
        <w:ind w:firstLine="420" w:firstLineChars="200"/>
        <w:rPr>
          <w:rFonts w:ascii="宋体" w:hAnsi="宋体" w:cs="宋体"/>
          <w:szCs w:val="21"/>
        </w:rPr>
      </w:pPr>
      <w:r>
        <w:rPr>
          <w:rFonts w:hint="eastAsia" w:ascii="宋体" w:hAnsi="宋体" w:cs="宋体"/>
          <w:szCs w:val="21"/>
        </w:rPr>
        <w:t>分子项：原煤生产用电量。见上述原煤生产综合能源消费量的说明。</w:t>
      </w:r>
    </w:p>
    <w:p>
      <w:pPr>
        <w:spacing w:line="360" w:lineRule="exact"/>
        <w:ind w:firstLine="420" w:firstLineChars="200"/>
        <w:rPr>
          <w:rFonts w:ascii="宋体" w:hAnsi="宋体" w:cs="宋体"/>
          <w:szCs w:val="21"/>
        </w:rPr>
      </w:pPr>
      <w:r>
        <w:rPr>
          <w:rFonts w:hint="eastAsia" w:ascii="宋体" w:hAnsi="宋体" w:cs="宋体"/>
          <w:szCs w:val="21"/>
        </w:rPr>
        <w:t>分母项：原煤产量。同原煤生产综合能源消费量的说明。</w:t>
      </w:r>
    </w:p>
    <w:p>
      <w:pPr>
        <w:spacing w:line="360" w:lineRule="exact"/>
        <w:ind w:firstLine="420" w:firstLineChars="200"/>
        <w:rPr>
          <w:rFonts w:ascii="宋体" w:hAnsi="宋体" w:cs="宋体"/>
          <w:szCs w:val="21"/>
        </w:rPr>
      </w:pPr>
      <w:r>
        <w:rPr>
          <w:rFonts w:hint="eastAsia" w:ascii="宋体" w:hAnsi="宋体" w:cs="宋体"/>
          <w:bCs/>
          <w:szCs w:val="21"/>
        </w:rPr>
        <w:t xml:space="preserve">洗煤电力单耗 </w:t>
      </w:r>
    </w:p>
    <w:p>
      <w:pPr>
        <w:spacing w:line="360" w:lineRule="exact"/>
        <w:ind w:firstLine="412" w:firstLineChars="200"/>
        <w:rPr>
          <w:rFonts w:ascii="宋体" w:hAnsi="宋体" w:cs="宋体"/>
          <w:spacing w:val="-2"/>
          <w:szCs w:val="21"/>
        </w:rPr>
      </w:pPr>
      <w:r>
        <w:rPr>
          <w:rFonts w:hint="eastAsia" w:ascii="宋体" w:hAnsi="宋体" w:cs="宋体"/>
          <w:spacing w:val="-2"/>
          <w:szCs w:val="21"/>
        </w:rPr>
        <w:t>计算公式：洗煤电力单耗（千瓦时/吨）＝10000×洗煤生产过程耗电量（万千瓦时）/入洗原煤量（吨）</w:t>
      </w:r>
    </w:p>
    <w:p>
      <w:pPr>
        <w:spacing w:line="360" w:lineRule="exact"/>
        <w:ind w:firstLine="420" w:firstLineChars="200"/>
        <w:rPr>
          <w:rFonts w:ascii="宋体" w:hAnsi="宋体" w:cs="宋体"/>
          <w:szCs w:val="21"/>
        </w:rPr>
      </w:pPr>
      <w:r>
        <w:rPr>
          <w:rFonts w:hint="eastAsia" w:ascii="宋体" w:hAnsi="宋体" w:cs="宋体"/>
          <w:szCs w:val="21"/>
        </w:rPr>
        <w:t>分子项：洗煤生产过程耗电量。按电力部门结算的电量计算，不包括洗煤厂向外转供的电量，以及与洗煤生产无直接关系的各种用电量（如居民生活用电、基建工程用电、文化福利设施用电等）。</w:t>
      </w:r>
    </w:p>
    <w:p>
      <w:pPr>
        <w:spacing w:line="360" w:lineRule="exact"/>
        <w:ind w:firstLine="424" w:firstLineChars="202"/>
        <w:rPr>
          <w:rFonts w:ascii="宋体" w:hAnsi="宋体" w:cs="宋体"/>
          <w:szCs w:val="21"/>
        </w:rPr>
      </w:pPr>
      <w:r>
        <w:rPr>
          <w:rFonts w:hint="eastAsia" w:ascii="宋体" w:hAnsi="宋体" w:cs="宋体"/>
          <w:szCs w:val="21"/>
        </w:rPr>
        <w:t>分母项：入洗原煤量。指从入厂毛煤中拣出的不计原煤产量的大块矸石（一般指50毫米以上）后进入洗选煤过程，进行加工处理的原煤量。</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石油和天然气（07）</w:t>
      </w:r>
    </w:p>
    <w:p>
      <w:pPr>
        <w:widowControl/>
        <w:spacing w:line="360" w:lineRule="exact"/>
        <w:ind w:firstLine="420" w:firstLineChars="200"/>
        <w:jc w:val="left"/>
        <w:rPr>
          <w:szCs w:val="21"/>
        </w:rPr>
      </w:pPr>
      <w:r>
        <w:rPr>
          <w:rFonts w:eastAsia="黑体"/>
          <w:bCs/>
          <w:szCs w:val="21"/>
        </w:rPr>
        <w:t>单位油气产量综合能耗</w:t>
      </w:r>
      <w:r>
        <w:rPr>
          <w:bCs/>
          <w:szCs w:val="21"/>
        </w:rPr>
        <w:t xml:space="preserve">  </w:t>
      </w:r>
    </w:p>
    <w:p>
      <w:pPr>
        <w:spacing w:line="360" w:lineRule="exact"/>
        <w:ind w:left="5565" w:leftChars="200" w:hanging="5145" w:hangingChars="2450"/>
        <w:rPr>
          <w:szCs w:val="21"/>
        </w:rPr>
      </w:pPr>
      <w:r>
        <w:rPr>
          <w:szCs w:val="21"/>
        </w:rPr>
        <w:t>计算公式：单位油气产量综合能耗（千克标准煤</w:t>
      </w:r>
      <w:r>
        <w:rPr>
          <w:rFonts w:hint="eastAsia" w:ascii="宋体" w:hAnsi="宋体" w:cs="宋体"/>
          <w:szCs w:val="21"/>
        </w:rPr>
        <w:t>/</w:t>
      </w:r>
      <w:r>
        <w:rPr>
          <w:szCs w:val="21"/>
        </w:rPr>
        <w:t>吨）＝</w:t>
      </w:r>
      <w:r>
        <w:rPr>
          <w:rFonts w:hint="eastAsia" w:ascii="宋体" w:hAnsi="宋体" w:cs="宋体"/>
          <w:szCs w:val="21"/>
        </w:rPr>
        <w:t>1000×油气田生产综合能源消费量（吨标准煤）/油气当量产量（吨）</w:t>
      </w:r>
    </w:p>
    <w:p>
      <w:pPr>
        <w:spacing w:line="360" w:lineRule="exact"/>
        <w:ind w:firstLine="420" w:firstLineChars="200"/>
        <w:rPr>
          <w:szCs w:val="21"/>
        </w:rPr>
      </w:pPr>
      <w:r>
        <w:rPr>
          <w:szCs w:val="21"/>
        </w:rPr>
        <w:t>分子项：油气田生产综合能源消费量。指油气田采油（气）生产所消耗的各种能源，包括采油（气）生产和为采油（气）生产服务的辅助生产设施用能以及管理部门用能。</w:t>
      </w:r>
    </w:p>
    <w:p>
      <w:pPr>
        <w:spacing w:line="360" w:lineRule="exact"/>
        <w:ind w:firstLine="420" w:firstLineChars="200"/>
        <w:rPr>
          <w:szCs w:val="21"/>
        </w:rPr>
      </w:pPr>
      <w:r>
        <w:rPr>
          <w:szCs w:val="21"/>
        </w:rPr>
        <w:t>分母项：油气当量产量。指换算成统一计量单位的原油产量和天然气产量，换算关系：</w:t>
      </w:r>
    </w:p>
    <w:p>
      <w:pPr>
        <w:spacing w:line="360" w:lineRule="exact"/>
        <w:ind w:firstLine="420" w:firstLineChars="200"/>
        <w:rPr>
          <w:szCs w:val="21"/>
        </w:rPr>
      </w:pPr>
      <w:r>
        <w:rPr>
          <w:rFonts w:hint="eastAsia" w:ascii="宋体" w:hAnsi="宋体" w:cs="宋体"/>
          <w:szCs w:val="21"/>
        </w:rPr>
        <w:t>1255</w:t>
      </w:r>
      <w:r>
        <w:rPr>
          <w:szCs w:val="21"/>
        </w:rPr>
        <w:t>立方米天然气＝</w:t>
      </w:r>
      <w:r>
        <w:rPr>
          <w:rFonts w:hint="eastAsia" w:ascii="宋体" w:hAnsi="宋体" w:cs="宋体"/>
          <w:szCs w:val="21"/>
        </w:rPr>
        <w:t>1</w:t>
      </w:r>
      <w:r>
        <w:rPr>
          <w:szCs w:val="21"/>
        </w:rPr>
        <w:t>吨原油</w:t>
      </w:r>
    </w:p>
    <w:p>
      <w:pPr>
        <w:spacing w:line="360" w:lineRule="exact"/>
        <w:ind w:firstLine="420" w:firstLineChars="200"/>
        <w:rPr>
          <w:rFonts w:eastAsia="黑体"/>
          <w:szCs w:val="21"/>
        </w:rPr>
      </w:pPr>
      <w:r>
        <w:rPr>
          <w:rFonts w:eastAsia="黑体"/>
          <w:szCs w:val="21"/>
        </w:rPr>
        <w:t xml:space="preserve">单位油气产量耗电  </w:t>
      </w:r>
    </w:p>
    <w:p>
      <w:pPr>
        <w:spacing w:line="360" w:lineRule="exact"/>
        <w:ind w:left="4725" w:leftChars="200" w:hanging="4305" w:hangingChars="2050"/>
        <w:rPr>
          <w:szCs w:val="21"/>
        </w:rPr>
      </w:pPr>
      <w:r>
        <w:rPr>
          <w:szCs w:val="21"/>
        </w:rPr>
        <w:t>计算公式：单位油气产量耗电（千瓦时</w:t>
      </w:r>
      <w:r>
        <w:rPr>
          <w:rFonts w:hint="eastAsia" w:ascii="宋体" w:hAnsi="宋体" w:cs="宋体"/>
          <w:szCs w:val="21"/>
        </w:rPr>
        <w:t>/</w:t>
      </w:r>
      <w:r>
        <w:rPr>
          <w:szCs w:val="21"/>
        </w:rPr>
        <w:t>吨）＝</w:t>
      </w:r>
      <w:r>
        <w:rPr>
          <w:rFonts w:hint="eastAsia" w:ascii="宋体" w:hAnsi="宋体" w:cs="宋体"/>
          <w:szCs w:val="21"/>
        </w:rPr>
        <w:t>10000×</w:t>
      </w:r>
      <w:r>
        <w:rPr>
          <w:szCs w:val="21"/>
        </w:rPr>
        <w:t>油气田生产用电量（万千瓦时）</w:t>
      </w:r>
      <w:r>
        <w:rPr>
          <w:rFonts w:hint="eastAsia" w:ascii="宋体" w:hAnsi="宋体" w:cs="宋体"/>
          <w:szCs w:val="21"/>
        </w:rPr>
        <w:t>/</w:t>
      </w:r>
      <w:r>
        <w:rPr>
          <w:szCs w:val="21"/>
        </w:rPr>
        <w:t>油气当量产量（吨）</w:t>
      </w:r>
    </w:p>
    <w:p>
      <w:pPr>
        <w:spacing w:line="360" w:lineRule="exact"/>
        <w:ind w:firstLine="420" w:firstLineChars="200"/>
        <w:rPr>
          <w:szCs w:val="21"/>
        </w:rPr>
      </w:pPr>
      <w:r>
        <w:rPr>
          <w:szCs w:val="21"/>
        </w:rPr>
        <w:t>分子项：油气田生产用电量。指油气田采油（气）生产所消耗的电力，包括采油（气）生产和为采油（气）生产服务的辅助生产设施用电以及管理部门用电。</w:t>
      </w:r>
    </w:p>
    <w:p>
      <w:pPr>
        <w:spacing w:line="360" w:lineRule="exact"/>
        <w:ind w:firstLine="420" w:firstLineChars="200"/>
        <w:rPr>
          <w:szCs w:val="21"/>
        </w:rPr>
      </w:pPr>
      <w:r>
        <w:rPr>
          <w:szCs w:val="21"/>
        </w:rPr>
        <w:t>分母项：油气当量产量。解释同上。</w:t>
      </w:r>
    </w:p>
    <w:p>
      <w:pPr>
        <w:pStyle w:val="10"/>
        <w:spacing w:line="360" w:lineRule="exact"/>
        <w:ind w:firstLine="420" w:firstLineChars="200"/>
        <w:rPr>
          <w:rFonts w:ascii="Times New Roman" w:hAnsi="Times New Roman" w:eastAsia="黑体" w:cs="Times New Roman"/>
          <w:bCs/>
        </w:rPr>
      </w:pPr>
    </w:p>
    <w:p>
      <w:pPr>
        <w:pStyle w:val="10"/>
        <w:spacing w:line="360" w:lineRule="exact"/>
        <w:ind w:firstLine="420" w:firstLineChars="200"/>
        <w:rPr>
          <w:rFonts w:ascii="Times New Roman" w:hAnsi="Times New Roman" w:eastAsia="黑体" w:cs="Times New Roman"/>
          <w:bCs/>
        </w:rPr>
      </w:pPr>
      <w:r>
        <w:rPr>
          <w:rFonts w:ascii="Times New Roman" w:hAnsi="Times New Roman" w:eastAsia="黑体" w:cs="Times New Roman"/>
          <w:bCs/>
        </w:rPr>
        <w:t>黑色金属矿（08）</w:t>
      </w:r>
    </w:p>
    <w:p>
      <w:pPr>
        <w:spacing w:line="360" w:lineRule="exact"/>
        <w:ind w:left="-105" w:leftChars="-50" w:firstLine="525" w:firstLineChars="250"/>
        <w:rPr>
          <w:szCs w:val="21"/>
        </w:rPr>
      </w:pPr>
      <w:r>
        <w:rPr>
          <w:rFonts w:eastAsia="黑体"/>
          <w:bCs/>
          <w:szCs w:val="21"/>
        </w:rPr>
        <w:t xml:space="preserve">铁矿采矿工序单位能耗 </w:t>
      </w:r>
    </w:p>
    <w:p>
      <w:pPr>
        <w:spacing w:line="360" w:lineRule="exact"/>
        <w:ind w:left="5563" w:leftChars="187" w:hanging="5170" w:hangingChars="2462"/>
        <w:rPr>
          <w:szCs w:val="21"/>
        </w:rPr>
      </w:pPr>
      <w:r>
        <w:rPr>
          <w:szCs w:val="21"/>
        </w:rPr>
        <w:t>计算公式：铁矿采矿工序单位能耗（千克标准煤/吨）＝</w:t>
      </w:r>
      <w:r>
        <w:rPr>
          <w:rFonts w:hint="eastAsia" w:ascii="宋体" w:hAnsi="宋体" w:cs="宋体"/>
          <w:szCs w:val="21"/>
        </w:rPr>
        <w:t>1000×</w:t>
      </w:r>
      <w:r>
        <w:rPr>
          <w:szCs w:val="21"/>
        </w:rPr>
        <w:t>铁矿采矿工序净耗能量（吨标准煤）</w:t>
      </w:r>
      <w:r>
        <w:rPr>
          <w:rFonts w:hint="eastAsia" w:ascii="宋体" w:hAnsi="宋体" w:cs="宋体"/>
          <w:szCs w:val="21"/>
        </w:rPr>
        <w:t>/</w:t>
      </w:r>
      <w:r>
        <w:rPr>
          <w:szCs w:val="21"/>
        </w:rPr>
        <w:t xml:space="preserve">铁矿采剥（掘）总量或采出原矿量（吨） </w:t>
      </w:r>
    </w:p>
    <w:p>
      <w:pPr>
        <w:spacing w:line="360" w:lineRule="exact"/>
        <w:ind w:firstLine="420" w:firstLineChars="200"/>
        <w:rPr>
          <w:szCs w:val="21"/>
        </w:rPr>
      </w:pPr>
      <w:r>
        <w:rPr>
          <w:szCs w:val="21"/>
        </w:rPr>
        <w:t>分子项：铁矿采矿工序净耗能量。指报告期内铁矿采矿工序消耗的各种能源，扣除工序内向外提供的能源量。</w:t>
      </w:r>
    </w:p>
    <w:p>
      <w:pPr>
        <w:spacing w:line="360" w:lineRule="exact"/>
        <w:ind w:firstLine="420" w:firstLineChars="200"/>
        <w:rPr>
          <w:szCs w:val="21"/>
        </w:rPr>
      </w:pPr>
      <w:r>
        <w:rPr>
          <w:szCs w:val="21"/>
        </w:rPr>
        <w:t>分母项：铁矿采剥（掘）总量或采出原矿量。指露天采矿用采剥（掘）总量和地下采矿用采出原矿量。</w:t>
      </w:r>
    </w:p>
    <w:p>
      <w:pPr>
        <w:spacing w:line="360" w:lineRule="exact"/>
        <w:ind w:firstLine="420" w:firstLineChars="200"/>
        <w:rPr>
          <w:rFonts w:eastAsia="黑体"/>
          <w:szCs w:val="21"/>
        </w:rPr>
      </w:pPr>
      <w:r>
        <w:rPr>
          <w:rFonts w:eastAsia="黑体"/>
          <w:bCs/>
          <w:szCs w:val="21"/>
        </w:rPr>
        <w:t xml:space="preserve">铁矿选矿工序单位能耗  </w:t>
      </w:r>
    </w:p>
    <w:p>
      <w:pPr>
        <w:spacing w:line="360" w:lineRule="exact"/>
        <w:ind w:left="5563" w:leftChars="206" w:hanging="5130" w:hangingChars="2443"/>
        <w:rPr>
          <w:szCs w:val="21"/>
        </w:rPr>
      </w:pPr>
      <w:r>
        <w:rPr>
          <w:szCs w:val="21"/>
        </w:rPr>
        <w:t>计算公式：铁矿选矿工序单位能耗（千克标准煤/吨）＝</w:t>
      </w:r>
      <w:r>
        <w:rPr>
          <w:rFonts w:hint="eastAsia" w:ascii="宋体" w:hAnsi="宋体" w:cs="宋体"/>
          <w:szCs w:val="21"/>
        </w:rPr>
        <w:t xml:space="preserve">1000×铁矿选矿工序净耗能量（吨标准煤） /铁矿处理原矿量（吨） </w:t>
      </w:r>
    </w:p>
    <w:p>
      <w:pPr>
        <w:spacing w:line="360" w:lineRule="exact"/>
        <w:ind w:firstLine="420" w:firstLineChars="200"/>
        <w:rPr>
          <w:szCs w:val="21"/>
        </w:rPr>
      </w:pPr>
      <w:r>
        <w:rPr>
          <w:szCs w:val="21"/>
        </w:rPr>
        <w:t>分子项：铁矿选矿工序净耗能量。指报告期内铁矿选矿工序消耗的各种能源，扣除工序内向外提供的能源量。</w:t>
      </w:r>
    </w:p>
    <w:p>
      <w:pPr>
        <w:spacing w:line="360" w:lineRule="exact"/>
        <w:ind w:firstLine="424" w:firstLineChars="202"/>
        <w:rPr>
          <w:szCs w:val="21"/>
        </w:rPr>
      </w:pPr>
      <w:r>
        <w:rPr>
          <w:szCs w:val="21"/>
        </w:rPr>
        <w:t>分母项：铁矿处理原矿量。指报告期内选矿工序所处理的原矿量。</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纺织品（17）</w:t>
      </w:r>
      <w:r>
        <w:rPr>
          <w:rFonts w:hint="eastAsia" w:eastAsia="黑体"/>
          <w:bCs/>
          <w:szCs w:val="21"/>
        </w:rPr>
        <w:t xml:space="preserve">  </w:t>
      </w:r>
      <w:r>
        <w:rPr>
          <w:rFonts w:eastAsia="黑体"/>
          <w:bCs/>
          <w:szCs w:val="21"/>
        </w:rPr>
        <w:t>化学纤维（28）</w:t>
      </w:r>
    </w:p>
    <w:p>
      <w:pPr>
        <w:spacing w:line="360" w:lineRule="exact"/>
        <w:ind w:firstLine="420" w:firstLineChars="200"/>
        <w:rPr>
          <w:szCs w:val="21"/>
        </w:rPr>
      </w:pPr>
      <w:r>
        <w:rPr>
          <w:rFonts w:eastAsia="黑体"/>
          <w:bCs/>
          <w:szCs w:val="21"/>
        </w:rPr>
        <w:t xml:space="preserve">吨粘胶纤维综合能耗（短纤） </w:t>
      </w:r>
    </w:p>
    <w:p>
      <w:pPr>
        <w:spacing w:line="360" w:lineRule="exact"/>
        <w:ind w:left="6088" w:leftChars="187" w:hanging="5695" w:hangingChars="2712"/>
        <w:rPr>
          <w:szCs w:val="21"/>
        </w:rPr>
      </w:pPr>
      <w:r>
        <w:rPr>
          <w:szCs w:val="21"/>
        </w:rPr>
        <w:t>计算公式：吨粘胶纤维综合能耗</w:t>
      </w:r>
      <w:r>
        <w:rPr>
          <w:bCs/>
          <w:szCs w:val="21"/>
        </w:rPr>
        <w:t>（短纤）</w:t>
      </w:r>
      <w:r>
        <w:rPr>
          <w:szCs w:val="21"/>
        </w:rPr>
        <w:t>（千克标准煤</w:t>
      </w:r>
      <w:r>
        <w:rPr>
          <w:rFonts w:hint="eastAsia" w:ascii="宋体" w:hAnsi="宋体" w:cs="宋体"/>
          <w:szCs w:val="21"/>
        </w:rPr>
        <w:t>/</w:t>
      </w:r>
      <w:r>
        <w:rPr>
          <w:szCs w:val="21"/>
        </w:rPr>
        <w:t>吨）＝</w:t>
      </w:r>
      <w:r>
        <w:rPr>
          <w:rFonts w:hint="eastAsia" w:ascii="宋体" w:hAnsi="宋体" w:cs="宋体"/>
          <w:szCs w:val="21"/>
        </w:rPr>
        <w:t>1000×</w:t>
      </w:r>
      <w:r>
        <w:rPr>
          <w:szCs w:val="21"/>
        </w:rPr>
        <w:t>企业生产综合能源消费量（吨标准煤）</w:t>
      </w:r>
      <w:r>
        <w:rPr>
          <w:rFonts w:hint="eastAsia" w:ascii="宋体" w:hAnsi="宋体" w:cs="宋体"/>
          <w:szCs w:val="21"/>
        </w:rPr>
        <w:t>/</w:t>
      </w:r>
      <w:r>
        <w:rPr>
          <w:szCs w:val="21"/>
        </w:rPr>
        <w:t>粘胶短纤维产量（吨）</w:t>
      </w:r>
    </w:p>
    <w:p>
      <w:pPr>
        <w:spacing w:line="360" w:lineRule="exact"/>
        <w:ind w:firstLine="420" w:firstLineChars="200"/>
        <w:rPr>
          <w:rFonts w:eastAsia="黑体"/>
          <w:szCs w:val="21"/>
        </w:rPr>
      </w:pPr>
      <w:r>
        <w:rPr>
          <w:rFonts w:eastAsia="黑体"/>
          <w:bCs/>
          <w:szCs w:val="21"/>
        </w:rPr>
        <w:t xml:space="preserve">吨粘胶纤维用电量（短纤） </w:t>
      </w:r>
    </w:p>
    <w:p>
      <w:pPr>
        <w:tabs>
          <w:tab w:val="left" w:pos="12980"/>
        </w:tabs>
        <w:spacing w:line="360" w:lineRule="exact"/>
        <w:ind w:left="5459" w:leftChars="193" w:hanging="5054" w:hangingChars="2407"/>
        <w:jc w:val="left"/>
        <w:rPr>
          <w:bCs/>
          <w:szCs w:val="21"/>
        </w:rPr>
      </w:pPr>
      <w:r>
        <w:rPr>
          <w:szCs w:val="21"/>
        </w:rPr>
        <w:t>计算公式：吨粘胶纤维用电量</w:t>
      </w:r>
      <w:r>
        <w:rPr>
          <w:bCs/>
          <w:szCs w:val="21"/>
        </w:rPr>
        <w:t>（短纤）</w:t>
      </w:r>
      <w:r>
        <w:rPr>
          <w:szCs w:val="21"/>
        </w:rPr>
        <w:t>（千瓦时</w:t>
      </w:r>
      <w:r>
        <w:rPr>
          <w:rFonts w:hint="eastAsia" w:ascii="宋体" w:hAnsi="宋体" w:cs="宋体"/>
          <w:szCs w:val="21"/>
        </w:rPr>
        <w:t>/</w:t>
      </w:r>
      <w:r>
        <w:rPr>
          <w:szCs w:val="21"/>
        </w:rPr>
        <w:t>吨）＝</w:t>
      </w:r>
      <w:r>
        <w:rPr>
          <w:rFonts w:hint="eastAsia" w:ascii="宋体" w:hAnsi="宋体" w:cs="宋体"/>
          <w:szCs w:val="21"/>
        </w:rPr>
        <w:t>10000×</w:t>
      </w:r>
      <w:r>
        <w:rPr>
          <w:szCs w:val="21"/>
        </w:rPr>
        <w:t>企业生产用电量（万千瓦时）/粘胶短纤维产量（吨）</w:t>
      </w:r>
    </w:p>
    <w:p>
      <w:pPr>
        <w:tabs>
          <w:tab w:val="left" w:pos="12980"/>
        </w:tabs>
        <w:spacing w:line="360" w:lineRule="exact"/>
        <w:ind w:firstLine="420" w:firstLineChars="200"/>
        <w:jc w:val="left"/>
        <w:rPr>
          <w:szCs w:val="21"/>
        </w:rPr>
      </w:pPr>
      <w:r>
        <w:rPr>
          <w:bCs/>
          <w:szCs w:val="21"/>
        </w:rPr>
        <w:t>分子项：</w:t>
      </w:r>
      <w:r>
        <w:rPr>
          <w:szCs w:val="21"/>
        </w:rPr>
        <w:t>企业生产综合能源消费量是指企业生产消费的各种能源，主要包括煤、油、电、燃气和外购热力。生产消费包括与生产有关的直接或间接的消费量，即直接用于产品生产过程的消费量和辅助生产设施的消费量。</w:t>
      </w:r>
    </w:p>
    <w:p>
      <w:pPr>
        <w:tabs>
          <w:tab w:val="left" w:pos="12980"/>
        </w:tabs>
        <w:spacing w:line="360" w:lineRule="exact"/>
        <w:ind w:firstLine="420" w:firstLineChars="200"/>
        <w:jc w:val="left"/>
        <w:rPr>
          <w:szCs w:val="21"/>
        </w:rPr>
      </w:pPr>
      <w:r>
        <w:rPr>
          <w:szCs w:val="21"/>
        </w:rPr>
        <w:t>企业生产综合能源消费量＝各种能源用于生产消费折标准煤之和－二次能源产出量折标准煤之和－回收利用的余热余能折标准煤。</w:t>
      </w:r>
    </w:p>
    <w:p>
      <w:pPr>
        <w:widowControl/>
        <w:spacing w:line="360" w:lineRule="exact"/>
        <w:ind w:firstLine="420" w:firstLineChars="200"/>
        <w:jc w:val="left"/>
        <w:rPr>
          <w:szCs w:val="21"/>
        </w:rPr>
      </w:pPr>
      <w:r>
        <w:rPr>
          <w:szCs w:val="21"/>
        </w:rPr>
        <w:t>企业生产用电量是指工业企业在统计报告期内为进行工业生产活动所使用的电量，包括生产系统、辅助生产系统、附属生产系统的用电量。</w:t>
      </w:r>
    </w:p>
    <w:p>
      <w:pPr>
        <w:widowControl/>
        <w:spacing w:line="360" w:lineRule="exact"/>
        <w:ind w:firstLine="420" w:firstLineChars="200"/>
        <w:jc w:val="left"/>
        <w:rPr>
          <w:szCs w:val="21"/>
        </w:rPr>
      </w:pPr>
      <w:r>
        <w:rPr>
          <w:szCs w:val="21"/>
        </w:rPr>
        <w:t>企业生产综合能耗和用电量包括生产合格品、废次品的全部消耗。</w:t>
      </w:r>
    </w:p>
    <w:p>
      <w:pPr>
        <w:tabs>
          <w:tab w:val="left" w:pos="12980"/>
        </w:tabs>
        <w:spacing w:line="360" w:lineRule="exact"/>
        <w:ind w:firstLine="420" w:firstLineChars="200"/>
        <w:jc w:val="left"/>
        <w:rPr>
          <w:szCs w:val="21"/>
        </w:rPr>
      </w:pPr>
      <w:r>
        <w:rPr>
          <w:bCs/>
          <w:szCs w:val="21"/>
        </w:rPr>
        <w:t>分母项：</w:t>
      </w:r>
      <w:r>
        <w:rPr>
          <w:szCs w:val="21"/>
        </w:rPr>
        <w:t>粘胶短纤维产量指合格的产品产量。计算</w:t>
      </w:r>
      <w:r>
        <w:rPr>
          <w:rFonts w:hint="eastAsia" w:ascii="宋体" w:hAnsi="宋体" w:cs="宋体"/>
          <w:szCs w:val="21"/>
        </w:rPr>
        <w:t>“</w:t>
      </w:r>
      <w:r>
        <w:rPr>
          <w:szCs w:val="21"/>
        </w:rPr>
        <w:t>产品单耗</w:t>
      </w:r>
      <w:r>
        <w:rPr>
          <w:rFonts w:hint="eastAsia" w:ascii="宋体" w:hAnsi="宋体" w:cs="宋体"/>
          <w:szCs w:val="21"/>
        </w:rPr>
        <w:t>”</w:t>
      </w:r>
      <w:r>
        <w:rPr>
          <w:szCs w:val="21"/>
        </w:rPr>
        <w:t>的产品，只限于正式投产的产品。试制阶段的新产品、科研产品以及正式投产以前试验生产的产品，不计算单耗指标。</w:t>
      </w:r>
    </w:p>
    <w:p>
      <w:pPr>
        <w:spacing w:line="360" w:lineRule="exact"/>
        <w:ind w:firstLine="420" w:firstLineChars="200"/>
        <w:rPr>
          <w:szCs w:val="21"/>
        </w:rPr>
      </w:pPr>
      <w:r>
        <w:rPr>
          <w:szCs w:val="21"/>
        </w:rPr>
        <w:t>综合能耗类似的指标有：吨粘胶纤维综合能耗（长丝）、吨锦纶综合能耗、吨涤纶综合能耗（短纤）、吨涤纶综合能耗（长丝）、吨腈纶综合能耗、吨维纶综合能耗、吨纱（线）混合数综合能耗、万米布混合数综合能耗、万米印染布综合能耗、吨桑蚕丝综合能耗、万米丝织品综合能耗。</w:t>
      </w:r>
    </w:p>
    <w:p>
      <w:pPr>
        <w:spacing w:line="360" w:lineRule="exact"/>
        <w:ind w:firstLine="420" w:firstLineChars="200"/>
        <w:rPr>
          <w:vanish/>
          <w:szCs w:val="21"/>
        </w:rPr>
      </w:pPr>
      <w:r>
        <w:rPr>
          <w:szCs w:val="21"/>
        </w:rPr>
        <w:t>电耗类似的指标有：吨粘胶纤维用电量（长丝）、吨锦纶用电量、吨涤纶用电量（短纤）、吨涤纶用电量（长丝）、吨腈纶用电量、吨维纶用电量、吨纱（线）混合数生产用电量、万米布混合数生产用电量、万米丝织品用电量。</w:t>
      </w:r>
    </w:p>
    <w:p>
      <w:pPr>
        <w:widowControl/>
        <w:spacing w:line="360" w:lineRule="exact"/>
        <w:ind w:firstLine="420" w:firstLineChars="200"/>
        <w:jc w:val="left"/>
        <w:rPr>
          <w:szCs w:val="21"/>
        </w:rPr>
      </w:pPr>
      <w:r>
        <w:rPr>
          <w:szCs w:val="21"/>
        </w:rPr>
        <w:t>其中“纱”指的是用天然纤维（棉为主）和化学纤维经棉纺生产设备和工艺生产的纱。“线”指使用捻线机对纱（棉型）加捻合股后的产品。包括棉纺厂、独立捻线厂、单织厂、针织厂等生产的线。“布”指用棉型纱、线（棉为主）在织机上织造的各种坯布、色织布。“印染布”指棉纺织厂生产的棉布、混纺布、纯化纤布经棉印染设备加工整理的漂白布、染色布、印花布的统称。“桑蚕丝”指桑蚕茧采用制丝工艺、经桑蚕缫丝机加工缫制的丝.包括厂丝、双工丝、农工丝等。“丝织品”指丝织厂以蚕丝或化纤长丝为原料经丝织机织成的丝织物，分为：桑蚕丝及其交织品、柞蚕丝及其交织品、绢紬丝及其交织品、人造丝及其交织品、合纤丝及其交织品。</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造纸及纸制品（22）</w:t>
      </w:r>
    </w:p>
    <w:p>
      <w:pPr>
        <w:spacing w:line="360" w:lineRule="exact"/>
        <w:ind w:firstLine="420" w:firstLineChars="200"/>
        <w:rPr>
          <w:rFonts w:eastAsia="黑体"/>
          <w:bCs/>
          <w:szCs w:val="21"/>
        </w:rPr>
      </w:pPr>
      <w:r>
        <w:rPr>
          <w:rFonts w:eastAsia="黑体"/>
          <w:bCs/>
          <w:szCs w:val="21"/>
        </w:rPr>
        <w:t>机制纸及纸板综合能耗</w:t>
      </w:r>
    </w:p>
    <w:p>
      <w:pPr>
        <w:spacing w:line="360" w:lineRule="exact"/>
        <w:ind w:left="5564" w:leftChars="213" w:hanging="5117" w:hangingChars="2437"/>
        <w:rPr>
          <w:bCs/>
          <w:szCs w:val="21"/>
        </w:rPr>
      </w:pPr>
      <w:r>
        <w:rPr>
          <w:bCs/>
          <w:szCs w:val="21"/>
        </w:rPr>
        <w:t>计算公式：机制纸及纸板综合能耗（千克标准煤</w:t>
      </w:r>
      <w:r>
        <w:rPr>
          <w:rFonts w:hint="eastAsia" w:ascii="宋体" w:hAnsi="宋体" w:cs="宋体"/>
          <w:bCs/>
          <w:szCs w:val="21"/>
        </w:rPr>
        <w:t>/</w:t>
      </w:r>
      <w:r>
        <w:rPr>
          <w:bCs/>
          <w:szCs w:val="21"/>
        </w:rPr>
        <w:t>吨）＝</w:t>
      </w:r>
      <w:r>
        <w:rPr>
          <w:rFonts w:hint="eastAsia" w:ascii="宋体" w:hAnsi="宋体" w:cs="宋体"/>
          <w:bCs/>
          <w:spacing w:val="-8"/>
          <w:szCs w:val="21"/>
        </w:rPr>
        <w:t>1000</w:t>
      </w:r>
      <w:r>
        <w:rPr>
          <w:bCs/>
          <w:spacing w:val="-8"/>
          <w:szCs w:val="21"/>
        </w:rPr>
        <w:t>×企业生产综合能源消费量（吨标准煤）</w:t>
      </w:r>
      <w:r>
        <w:rPr>
          <w:rFonts w:hint="eastAsia" w:ascii="宋体" w:hAnsi="宋体" w:cs="宋体"/>
          <w:bCs/>
          <w:spacing w:val="-8"/>
          <w:szCs w:val="21"/>
        </w:rPr>
        <w:t>/</w:t>
      </w:r>
      <w:r>
        <w:rPr>
          <w:bCs/>
          <w:spacing w:val="-8"/>
          <w:szCs w:val="21"/>
        </w:rPr>
        <w:t>机制纸及纸板（外购原纸加工除外）产量（吨）</w:t>
      </w:r>
    </w:p>
    <w:p>
      <w:pPr>
        <w:spacing w:line="360" w:lineRule="exact"/>
        <w:ind w:firstLine="420" w:firstLineChars="200"/>
        <w:rPr>
          <w:bCs/>
          <w:szCs w:val="21"/>
        </w:rPr>
      </w:pPr>
      <w:r>
        <w:rPr>
          <w:bCs/>
          <w:szCs w:val="21"/>
        </w:rPr>
        <w:t>分子项：企业生产综合能耗。包括直接生产系统、辅助生产系统和附属生产系统的能源消耗。直接生产系统包括备料、制浆、造纸系统等。辅助生产系统包括动力、供电、机修、供水、仪表及厂内原料厂等。附属生产系统包括生产指挥系统（厂部）和厂区内为生产服务的部门和单位如车间浴室、开水站、蒸饭站、保健站、哺乳室等。</w:t>
      </w:r>
    </w:p>
    <w:p>
      <w:pPr>
        <w:spacing w:line="360" w:lineRule="exact"/>
        <w:ind w:firstLine="420" w:firstLineChars="200"/>
        <w:rPr>
          <w:bCs/>
          <w:szCs w:val="21"/>
        </w:rPr>
      </w:pPr>
      <w:r>
        <w:rPr>
          <w:bCs/>
          <w:szCs w:val="21"/>
        </w:rPr>
        <w:t>企业生产综合能源消费量＝各种用于生产消费的能源（标准煤）之和－二次能源产出量（标准煤）之和－回收利用的余能（标准煤）之和</w:t>
      </w:r>
    </w:p>
    <w:p>
      <w:pPr>
        <w:spacing w:line="360" w:lineRule="exact"/>
        <w:ind w:firstLine="420" w:firstLineChars="200"/>
        <w:rPr>
          <w:bCs/>
          <w:szCs w:val="21"/>
        </w:rPr>
      </w:pPr>
      <w:r>
        <w:rPr>
          <w:bCs/>
          <w:szCs w:val="21"/>
        </w:rPr>
        <w:t>分母项：机制纸及纸板（外购原纸加工除外）产量。指合格品产量，包括未涂布印刷书写用纸、涂布类印刷用纸、卫生用纸原纸、包装用纸及纸板、感应纸及纸板（含光敏、热敏、压敏及其他感应纸及纸板的原纸和原纸板）、纤维类过滤纸及纸板、以及其他机制纸及纸板。不包括加工纸（指对原纸或纸板等成品纸进行再次加工处理而成的纸），手工制纸及纸板，纸制品（指用纸或纸板为原料进一步加工而成的纸制品）。</w:t>
      </w:r>
    </w:p>
    <w:p>
      <w:pPr>
        <w:spacing w:line="360" w:lineRule="exact"/>
        <w:ind w:firstLine="420" w:firstLineChars="200"/>
        <w:rPr>
          <w:rFonts w:eastAsia="黑体"/>
          <w:bCs/>
          <w:szCs w:val="21"/>
        </w:rPr>
      </w:pPr>
      <w:r>
        <w:rPr>
          <w:rFonts w:eastAsia="黑体"/>
          <w:bCs/>
          <w:szCs w:val="21"/>
        </w:rPr>
        <w:t>机制纸及纸板耗电</w:t>
      </w:r>
    </w:p>
    <w:p>
      <w:pPr>
        <w:pStyle w:val="10"/>
        <w:spacing w:line="360" w:lineRule="exact"/>
        <w:ind w:left="4725" w:leftChars="200" w:hanging="4305" w:hangingChars="2050"/>
        <w:rPr>
          <w:rFonts w:ascii="Times New Roman" w:hAnsi="Times New Roman" w:cs="Times New Roman"/>
          <w:bCs/>
        </w:rPr>
      </w:pPr>
      <w:r>
        <w:rPr>
          <w:rFonts w:ascii="Times New Roman" w:hAnsi="Times New Roman" w:cs="Times New Roman"/>
          <w:bCs/>
        </w:rPr>
        <w:t>计算公式：机制纸及纸板耗电（千瓦时/吨）＝</w:t>
      </w:r>
      <w:r>
        <w:rPr>
          <w:rFonts w:hint="eastAsia" w:hAnsi="宋体" w:cs="宋体"/>
          <w:bCs/>
        </w:rPr>
        <w:t>10000×</w:t>
      </w:r>
      <w:r>
        <w:rPr>
          <w:rFonts w:ascii="Times New Roman" w:hAnsi="Times New Roman" w:cs="Times New Roman"/>
          <w:bCs/>
        </w:rPr>
        <w:t>企业生产用电量（万千瓦时）/机制纸及纸板（外购原纸加工除外）产量（吨）</w:t>
      </w:r>
    </w:p>
    <w:p>
      <w:pPr>
        <w:pStyle w:val="10"/>
        <w:spacing w:line="360" w:lineRule="exact"/>
        <w:ind w:firstLine="420" w:firstLineChars="200"/>
        <w:rPr>
          <w:rFonts w:ascii="Times New Roman" w:hAnsi="Times New Roman" w:cs="Times New Roman"/>
          <w:bCs/>
        </w:rPr>
      </w:pPr>
      <w:r>
        <w:rPr>
          <w:rFonts w:ascii="Times New Roman" w:hAnsi="Times New Roman" w:cs="Times New Roman"/>
          <w:bCs/>
        </w:rPr>
        <w:t>分子项：企业生产用电量。计算和解释同上。</w:t>
      </w:r>
    </w:p>
    <w:p>
      <w:pPr>
        <w:pStyle w:val="10"/>
        <w:spacing w:line="360" w:lineRule="exact"/>
        <w:ind w:firstLine="424" w:firstLineChars="202"/>
        <w:rPr>
          <w:rFonts w:ascii="Times New Roman" w:hAnsi="Times New Roman" w:cs="Times New Roman"/>
          <w:bCs/>
        </w:rPr>
      </w:pPr>
      <w:r>
        <w:rPr>
          <w:rFonts w:ascii="Times New Roman" w:hAnsi="Times New Roman" w:cs="Times New Roman"/>
          <w:bCs/>
        </w:rPr>
        <w:t>分母项：机制纸及纸板产量（外购原纸加工除外）。计算和解释同上。</w:t>
      </w:r>
    </w:p>
    <w:p>
      <w:pPr>
        <w:pStyle w:val="10"/>
        <w:spacing w:line="360" w:lineRule="exact"/>
        <w:ind w:firstLine="420" w:firstLineChars="200"/>
        <w:rPr>
          <w:rFonts w:ascii="Times New Roman" w:hAnsi="Times New Roman" w:eastAsia="黑体" w:cs="Times New Roman"/>
          <w:bCs/>
        </w:rPr>
      </w:pPr>
    </w:p>
    <w:p>
      <w:pPr>
        <w:pStyle w:val="10"/>
        <w:spacing w:line="360" w:lineRule="exact"/>
        <w:ind w:firstLine="420" w:firstLineChars="200"/>
        <w:rPr>
          <w:rFonts w:ascii="Times New Roman" w:hAnsi="Times New Roman" w:eastAsia="黑体" w:cs="Times New Roman"/>
          <w:bCs/>
        </w:rPr>
      </w:pPr>
      <w:r>
        <w:rPr>
          <w:rFonts w:ascii="Times New Roman" w:hAnsi="Times New Roman" w:eastAsia="黑体" w:cs="Times New Roman"/>
          <w:bCs/>
        </w:rPr>
        <w:t>焦炭（25）</w:t>
      </w:r>
    </w:p>
    <w:p>
      <w:pPr>
        <w:spacing w:line="360" w:lineRule="exact"/>
        <w:ind w:firstLine="420" w:firstLineChars="200"/>
        <w:rPr>
          <w:szCs w:val="21"/>
        </w:rPr>
      </w:pPr>
      <w:r>
        <w:rPr>
          <w:rFonts w:eastAsia="黑体"/>
          <w:bCs/>
          <w:szCs w:val="21"/>
        </w:rPr>
        <w:t xml:space="preserve">炼焦工序单位能耗 </w:t>
      </w:r>
    </w:p>
    <w:p>
      <w:pPr>
        <w:pStyle w:val="10"/>
        <w:spacing w:line="360" w:lineRule="exact"/>
        <w:ind w:left="5145" w:leftChars="200" w:hanging="4725" w:hangingChars="2250"/>
        <w:rPr>
          <w:rFonts w:ascii="Times New Roman" w:hAnsi="Times New Roman" w:cs="Times New Roman"/>
          <w:bCs/>
        </w:rPr>
      </w:pPr>
      <w:r>
        <w:rPr>
          <w:rFonts w:ascii="Times New Roman" w:hAnsi="Times New Roman" w:cs="Times New Roman"/>
          <w:bCs/>
        </w:rPr>
        <w:t>计算公式：炼焦工序单位能耗（千克标准煤/吨）＝</w:t>
      </w:r>
      <w:r>
        <w:rPr>
          <w:rFonts w:hint="eastAsia" w:hAnsi="宋体" w:cs="宋体"/>
          <w:bCs/>
        </w:rPr>
        <w:t>1000×</w:t>
      </w:r>
      <w:r>
        <w:rPr>
          <w:rFonts w:ascii="Times New Roman" w:hAnsi="Times New Roman" w:cs="Times New Roman"/>
          <w:bCs/>
        </w:rPr>
        <w:t>炼焦工序净耗能量（吨标准煤）/全部焦炭产量（干基）（吨）</w:t>
      </w:r>
    </w:p>
    <w:p>
      <w:pPr>
        <w:pStyle w:val="10"/>
        <w:spacing w:line="360" w:lineRule="exact"/>
        <w:ind w:firstLine="420" w:firstLineChars="200"/>
        <w:rPr>
          <w:rFonts w:ascii="Times New Roman" w:hAnsi="Times New Roman" w:cs="Times New Roman"/>
          <w:bCs/>
        </w:rPr>
      </w:pPr>
      <w:r>
        <w:rPr>
          <w:rFonts w:ascii="Times New Roman" w:hAnsi="Times New Roman" w:cs="Times New Roman"/>
          <w:bCs/>
        </w:rPr>
        <w:t>分子项：炼焦工序净耗能量。指炼焦工艺生产系统的备煤车间（不包括洗煤）、厂内部原料煤的损耗、炼焦车间、回收车间（冷凝鼓风、氨回收、粗苯、脱硫脱氰、黄血盐）、辅助生产系统的机修、化验、计量、环保等，以及直接为生产服务的附属生产系统的食堂、浴池、保健站、休息室、生产管理和调度指挥系统等所消耗的各种能源合计，扣除焦化产品、回收利用余热余能产出的电力和外供热力。</w:t>
      </w:r>
    </w:p>
    <w:p>
      <w:pPr>
        <w:pStyle w:val="10"/>
        <w:spacing w:line="360" w:lineRule="exact"/>
        <w:ind w:firstLine="420" w:firstLineChars="200"/>
        <w:rPr>
          <w:rFonts w:ascii="Times New Roman" w:hAnsi="Times New Roman" w:cs="Times New Roman"/>
          <w:bCs/>
        </w:rPr>
      </w:pPr>
      <w:r>
        <w:rPr>
          <w:rFonts w:ascii="Times New Roman" w:hAnsi="Times New Roman" w:cs="Times New Roman"/>
          <w:bCs/>
        </w:rPr>
        <w:t>炼焦工序净耗能量（标准煤）＝原料煤（标准煤）＋燃料动力（标准煤）－焦化产品（标准煤）－利用炼焦余能余热的发电量（标准煤）－外供热力（标准煤）</w:t>
      </w:r>
    </w:p>
    <w:p>
      <w:pPr>
        <w:pStyle w:val="10"/>
        <w:spacing w:line="360" w:lineRule="exact"/>
        <w:ind w:firstLine="420" w:firstLineChars="200"/>
        <w:rPr>
          <w:rFonts w:ascii="Times New Roman" w:hAnsi="Times New Roman" w:cs="Times New Roman"/>
          <w:bCs/>
        </w:rPr>
      </w:pPr>
      <w:r>
        <w:rPr>
          <w:rFonts w:ascii="Times New Roman" w:hAnsi="Times New Roman" w:cs="Times New Roman"/>
          <w:bCs/>
        </w:rPr>
        <w:t>原料煤指装入焦炉的干洗精煤量；燃料动力指各类燃料（如加热用的煤、高炉煤气、发生炉煤气、焦炉煤气等）、电、外购蒸汽等；焦化产品指焦炭、回收的焦炉煤气、煤焦油、粗苯、其他焦化产品等。</w:t>
      </w:r>
    </w:p>
    <w:p>
      <w:pPr>
        <w:pStyle w:val="10"/>
        <w:spacing w:line="360" w:lineRule="exact"/>
        <w:ind w:firstLine="420" w:firstLineChars="200"/>
        <w:rPr>
          <w:rFonts w:ascii="Times New Roman" w:hAnsi="Times New Roman" w:cs="Times New Roman"/>
          <w:bCs/>
        </w:rPr>
      </w:pPr>
      <w:r>
        <w:rPr>
          <w:rFonts w:ascii="Times New Roman" w:hAnsi="Times New Roman" w:cs="Times New Roman"/>
          <w:bCs/>
        </w:rPr>
        <w:t>分母项：全部焦炭产量（干基）。</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原油加工（25）</w:t>
      </w:r>
    </w:p>
    <w:p>
      <w:pPr>
        <w:spacing w:line="360" w:lineRule="exact"/>
        <w:ind w:firstLine="420" w:firstLineChars="200"/>
        <w:rPr>
          <w:bCs/>
          <w:szCs w:val="21"/>
        </w:rPr>
      </w:pPr>
      <w:r>
        <w:rPr>
          <w:rFonts w:eastAsia="黑体"/>
          <w:bCs/>
          <w:szCs w:val="21"/>
        </w:rPr>
        <w:t xml:space="preserve">原油加工单位综合能耗 </w:t>
      </w:r>
      <w:r>
        <w:rPr>
          <w:bCs/>
          <w:szCs w:val="21"/>
        </w:rPr>
        <w:t xml:space="preserve"> </w:t>
      </w:r>
    </w:p>
    <w:p>
      <w:pPr>
        <w:tabs>
          <w:tab w:val="left" w:pos="476"/>
        </w:tabs>
        <w:spacing w:line="360" w:lineRule="exact"/>
        <w:ind w:left="5668" w:leftChars="186" w:hanging="5277" w:hangingChars="2513"/>
        <w:rPr>
          <w:bCs/>
          <w:szCs w:val="21"/>
        </w:rPr>
      </w:pPr>
      <w:r>
        <w:rPr>
          <w:bCs/>
          <w:szCs w:val="21"/>
        </w:rPr>
        <w:t>计算公式：原油加工单位综合能耗（千克标准油／吨）＝</w:t>
      </w:r>
      <w:r>
        <w:rPr>
          <w:rFonts w:hint="eastAsia" w:ascii="宋体" w:hAnsi="宋体" w:cs="宋体"/>
          <w:bCs/>
          <w:szCs w:val="21"/>
        </w:rPr>
        <w:t>1000×炼油综合能耗量（吨标准油）/原油及外购原料油加工量（吨）</w:t>
      </w:r>
    </w:p>
    <w:p>
      <w:pPr>
        <w:spacing w:line="360" w:lineRule="exact"/>
        <w:ind w:firstLine="420" w:firstLineChars="200"/>
        <w:rPr>
          <w:bCs/>
          <w:szCs w:val="21"/>
        </w:rPr>
      </w:pPr>
      <w:r>
        <w:rPr>
          <w:bCs/>
          <w:szCs w:val="21"/>
        </w:rPr>
        <w:t>分子项：炼油综合能耗量。主要指炼油加工能耗，包括炼油生产装置以及为之服务的辅助系统的全部耗能，不含聚丙烯的生产装置和库房的耗能。炼油生产装置包含：蒸馏、催化、焦化、制氢、加氢、精制、脱蜡、白土、气分、烷基化、脱硫、回收、降粘、汽提等工艺单元；炼油辅助系统包含炼油厂界区内的储运、污水处理、化验、研究、消防、生产管理等。</w:t>
      </w:r>
    </w:p>
    <w:p>
      <w:pPr>
        <w:spacing w:line="360" w:lineRule="exact"/>
        <w:ind w:firstLine="420" w:firstLineChars="200"/>
        <w:rPr>
          <w:bCs/>
          <w:szCs w:val="21"/>
        </w:rPr>
      </w:pPr>
      <w:r>
        <w:rPr>
          <w:bCs/>
          <w:szCs w:val="21"/>
        </w:rPr>
        <w:t>不包括用于厂内、外生活福利设施（如食堂、浴室、采暖和宿舍等）的能耗。</w:t>
      </w:r>
    </w:p>
    <w:p>
      <w:pPr>
        <w:spacing w:line="360" w:lineRule="exact"/>
        <w:ind w:firstLine="420" w:firstLineChars="200"/>
        <w:rPr>
          <w:bCs/>
          <w:szCs w:val="21"/>
        </w:rPr>
      </w:pPr>
      <w:r>
        <w:rPr>
          <w:bCs/>
          <w:szCs w:val="21"/>
        </w:rPr>
        <w:t>不包括作为原料用途的能源（注：在填报《能源购进、消费与库存》</w:t>
      </w:r>
      <w:r>
        <w:rPr>
          <w:rFonts w:hint="eastAsia"/>
          <w:bCs/>
          <w:szCs w:val="21"/>
        </w:rPr>
        <w:t>和《能源加工转换与</w:t>
      </w:r>
      <w:r>
        <w:rPr>
          <w:bCs/>
          <w:szCs w:val="21"/>
        </w:rPr>
        <w:t>回收利用</w:t>
      </w:r>
      <w:r>
        <w:rPr>
          <w:rFonts w:hint="eastAsia"/>
          <w:bCs/>
          <w:szCs w:val="21"/>
        </w:rPr>
        <w:t>》</w:t>
      </w:r>
      <w:r>
        <w:rPr>
          <w:bCs/>
          <w:szCs w:val="21"/>
        </w:rPr>
        <w:t>时，则要计算能源消费量）。</w:t>
      </w:r>
    </w:p>
    <w:p>
      <w:pPr>
        <w:spacing w:line="360" w:lineRule="exact"/>
        <w:ind w:firstLine="420" w:firstLineChars="200"/>
        <w:rPr>
          <w:bCs/>
          <w:szCs w:val="21"/>
        </w:rPr>
      </w:pPr>
      <w:r>
        <w:rPr>
          <w:bCs/>
          <w:szCs w:val="21"/>
        </w:rPr>
        <w:t>炼油综合能耗统计的燃料动力品种主要有：原煤、原油、汽油、煤油、柴油、燃料用油、燃料气、电、蒸汽、水、石油焦等。</w:t>
      </w:r>
    </w:p>
    <w:p>
      <w:pPr>
        <w:spacing w:line="360" w:lineRule="exact"/>
        <w:ind w:firstLine="420" w:firstLineChars="200"/>
        <w:rPr>
          <w:bCs/>
          <w:szCs w:val="21"/>
        </w:rPr>
      </w:pPr>
      <w:r>
        <w:rPr>
          <w:bCs/>
          <w:szCs w:val="21"/>
        </w:rPr>
        <w:t>燃料用油主要有燃料油（仅指炼厂生产的）、碳五馏分（拨头油）、碳九馏分、乙烯焦油（裂解焦油）、渣油（重油）、碳六馏分、苯乙烯焦油、聚烯烃焦油等。</w:t>
      </w:r>
    </w:p>
    <w:p>
      <w:pPr>
        <w:spacing w:line="360" w:lineRule="exact"/>
        <w:ind w:firstLine="420" w:firstLineChars="200"/>
        <w:rPr>
          <w:bCs/>
          <w:szCs w:val="21"/>
        </w:rPr>
      </w:pPr>
      <w:r>
        <w:rPr>
          <w:bCs/>
          <w:szCs w:val="21"/>
        </w:rPr>
        <w:t>燃料气主要有天然气、液化天然气、液化石油气（轻馏分、丁烯</w:t>
      </w:r>
      <w:r>
        <w:rPr>
          <w:rFonts w:hint="eastAsia" w:ascii="宋体" w:hAnsi="宋体" w:cs="宋体"/>
          <w:bCs/>
          <w:szCs w:val="21"/>
        </w:rPr>
        <w:t>-2</w:t>
      </w:r>
      <w:r>
        <w:rPr>
          <w:bCs/>
          <w:szCs w:val="21"/>
        </w:rPr>
        <w:t>）、炼厂干气、甲烷氢、回收火炬气、瓦斯气等。</w:t>
      </w:r>
    </w:p>
    <w:p>
      <w:pPr>
        <w:spacing w:line="360" w:lineRule="exact"/>
        <w:ind w:firstLine="420" w:firstLineChars="200"/>
        <w:rPr>
          <w:bCs/>
          <w:szCs w:val="21"/>
        </w:rPr>
      </w:pPr>
      <w:r>
        <w:rPr>
          <w:bCs/>
          <w:szCs w:val="21"/>
        </w:rPr>
        <w:t>分母项： 原油加工量。指原油通过蒸馏设备加工处理的数量。裂化、焦化等设备处理原油时，这部分原油量也应计算在原油加工量内。</w:t>
      </w:r>
    </w:p>
    <w:p>
      <w:pPr>
        <w:spacing w:line="360" w:lineRule="exact"/>
        <w:ind w:firstLine="420" w:firstLineChars="200"/>
        <w:rPr>
          <w:bCs/>
          <w:szCs w:val="21"/>
        </w:rPr>
      </w:pPr>
      <w:r>
        <w:rPr>
          <w:bCs/>
          <w:szCs w:val="21"/>
        </w:rPr>
        <w:t>原油及外购原料油加工量</w:t>
      </w:r>
      <w:r>
        <w:rPr>
          <w:szCs w:val="21"/>
        </w:rPr>
        <w:t>＝</w:t>
      </w:r>
      <w:r>
        <w:rPr>
          <w:bCs/>
          <w:szCs w:val="21"/>
        </w:rPr>
        <w:t>原油加工量+外购原料油加工量。</w:t>
      </w:r>
    </w:p>
    <w:p>
      <w:pPr>
        <w:spacing w:line="360" w:lineRule="exact"/>
        <w:ind w:firstLine="420" w:firstLineChars="200"/>
        <w:rPr>
          <w:bCs/>
          <w:szCs w:val="21"/>
        </w:rPr>
      </w:pPr>
      <w:r>
        <w:rPr>
          <w:bCs/>
          <w:szCs w:val="21"/>
        </w:rPr>
        <w:t>外购原料油加工量，指企业外购的，进入装置加工生产石油产品的原料油量。外购原料包括外购的裂化料、重整料、润滑油料、溶剂油等原料油，以及外供化工、化纤原料油返回炼油厂进一步加工的部分。用于生产汽油的</w:t>
      </w:r>
      <w:r>
        <w:rPr>
          <w:rFonts w:hint="eastAsia" w:ascii="宋体" w:hAnsi="宋体" w:cs="宋体"/>
          <w:bCs/>
          <w:szCs w:val="21"/>
        </w:rPr>
        <w:t>MTBE</w:t>
      </w:r>
      <w:r>
        <w:rPr>
          <w:bCs/>
          <w:szCs w:val="21"/>
        </w:rPr>
        <w:t>、生产</w:t>
      </w:r>
      <w:r>
        <w:rPr>
          <w:rFonts w:hint="eastAsia" w:ascii="宋体" w:hAnsi="宋体" w:cs="宋体"/>
          <w:bCs/>
          <w:szCs w:val="21"/>
        </w:rPr>
        <w:t>MTBE</w:t>
      </w:r>
      <w:r>
        <w:rPr>
          <w:bCs/>
          <w:szCs w:val="21"/>
        </w:rPr>
        <w:t>用的甲醇的外购量和外购氢气，也作为外购原料计算。但不包括用于生产添加剂、催化剂的外购原料。</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 xml:space="preserve">原油加工单位耗电  </w:t>
      </w:r>
    </w:p>
    <w:p>
      <w:pPr>
        <w:spacing w:line="360" w:lineRule="exact"/>
        <w:ind w:left="4725" w:leftChars="200" w:hanging="4305" w:hangingChars="2050"/>
        <w:rPr>
          <w:bCs/>
          <w:szCs w:val="21"/>
        </w:rPr>
      </w:pPr>
      <w:r>
        <w:rPr>
          <w:bCs/>
          <w:szCs w:val="21"/>
        </w:rPr>
        <w:t>计算公式：原油加工单位耗电（千瓦时</w:t>
      </w:r>
      <w:r>
        <w:rPr>
          <w:rFonts w:hint="eastAsia" w:ascii="宋体" w:hAnsi="宋体" w:cs="宋体"/>
          <w:bCs/>
          <w:szCs w:val="21"/>
        </w:rPr>
        <w:t>/</w:t>
      </w:r>
      <w:r>
        <w:rPr>
          <w:bCs/>
          <w:szCs w:val="21"/>
        </w:rPr>
        <w:t>吨）＝</w:t>
      </w:r>
      <w:r>
        <w:rPr>
          <w:rFonts w:hint="eastAsia" w:ascii="宋体" w:hAnsi="宋体" w:cs="宋体"/>
          <w:bCs/>
          <w:szCs w:val="21"/>
        </w:rPr>
        <w:t>10000×</w:t>
      </w:r>
      <w:r>
        <w:rPr>
          <w:bCs/>
          <w:szCs w:val="21"/>
        </w:rPr>
        <w:t>炼油系统电消耗量（万千瓦时）</w:t>
      </w:r>
      <w:r>
        <w:rPr>
          <w:rFonts w:hint="eastAsia" w:ascii="宋体" w:hAnsi="宋体" w:cs="宋体"/>
          <w:bCs/>
          <w:szCs w:val="21"/>
        </w:rPr>
        <w:t>/</w:t>
      </w:r>
      <w:r>
        <w:rPr>
          <w:bCs/>
          <w:szCs w:val="21"/>
        </w:rPr>
        <w:t>原油及外购原料油加工量（吨）</w:t>
      </w:r>
    </w:p>
    <w:p>
      <w:pPr>
        <w:spacing w:line="360" w:lineRule="exact"/>
        <w:ind w:firstLine="420" w:firstLineChars="200"/>
        <w:rPr>
          <w:bCs/>
          <w:szCs w:val="21"/>
        </w:rPr>
      </w:pPr>
      <w:r>
        <w:rPr>
          <w:bCs/>
          <w:szCs w:val="21"/>
        </w:rPr>
        <w:t>分子项：炼油系统电消耗量，指各套炼油装置（包括添加剂、催化剂装置）和工艺炉以及为这些装置服务的辅助系统，如储运、装卸油、供排水、供汽（包括自备电站供汽）、压缩空气、机修、仪修、电修、化验室、维修、厂区内采暖设施等消耗的电量。</w:t>
      </w:r>
    </w:p>
    <w:p>
      <w:pPr>
        <w:spacing w:line="360" w:lineRule="exact"/>
        <w:ind w:firstLine="420" w:firstLineChars="200"/>
      </w:pPr>
      <w:r>
        <w:rPr>
          <w:bCs/>
          <w:szCs w:val="21"/>
        </w:rPr>
        <w:t>分母项：原油及外购原料油加工量。解释和说明同上。</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无机碱（26）</w:t>
      </w:r>
    </w:p>
    <w:p>
      <w:pPr>
        <w:spacing w:line="360" w:lineRule="exact"/>
        <w:rPr>
          <w:bCs/>
          <w:szCs w:val="21"/>
        </w:rPr>
      </w:pPr>
      <w:r>
        <w:rPr>
          <w:rFonts w:eastAsia="黑体"/>
          <w:bCs/>
          <w:szCs w:val="21"/>
        </w:rPr>
        <w:t xml:space="preserve">    单位烧碱生产综合能耗</w:t>
      </w:r>
      <w:r>
        <w:rPr>
          <w:bCs/>
          <w:szCs w:val="21"/>
        </w:rPr>
        <w:t xml:space="preserve">  </w:t>
      </w:r>
    </w:p>
    <w:p>
      <w:pPr>
        <w:tabs>
          <w:tab w:val="left" w:pos="434"/>
        </w:tabs>
        <w:spacing w:line="360" w:lineRule="exact"/>
        <w:ind w:left="5564" w:leftChars="213" w:hanging="5117" w:hangingChars="2437"/>
        <w:rPr>
          <w:bCs/>
          <w:szCs w:val="21"/>
        </w:rPr>
      </w:pPr>
      <w:r>
        <w:rPr>
          <w:bCs/>
          <w:szCs w:val="21"/>
        </w:rPr>
        <w:t>计算公式：单位烧碱生产综合能耗（千克标准煤</w:t>
      </w:r>
      <w:r>
        <w:rPr>
          <w:rFonts w:hint="eastAsia" w:ascii="宋体" w:hAnsi="宋体" w:cs="宋体"/>
          <w:bCs/>
          <w:szCs w:val="21"/>
        </w:rPr>
        <w:t>/</w:t>
      </w:r>
      <w:r>
        <w:rPr>
          <w:bCs/>
          <w:szCs w:val="21"/>
        </w:rPr>
        <w:t>吨）＝</w:t>
      </w:r>
      <w:r>
        <w:rPr>
          <w:rFonts w:hint="eastAsia" w:ascii="宋体" w:hAnsi="宋体" w:cs="宋体"/>
          <w:bCs/>
          <w:szCs w:val="21"/>
        </w:rPr>
        <w:t>1000×</w:t>
      </w:r>
      <w:r>
        <w:rPr>
          <w:bCs/>
          <w:szCs w:val="21"/>
        </w:rPr>
        <w:t>液体烧碱综合能源消耗量（吨标准煤）／液体烧碱（折</w:t>
      </w:r>
      <w:r>
        <w:rPr>
          <w:rFonts w:hint="eastAsia" w:ascii="宋体" w:hAnsi="宋体" w:cs="宋体"/>
          <w:bCs/>
          <w:szCs w:val="21"/>
        </w:rPr>
        <w:t>100%</w:t>
      </w:r>
      <w:r>
        <w:rPr>
          <w:bCs/>
          <w:szCs w:val="21"/>
        </w:rPr>
        <w:t>）产量（吨）</w:t>
      </w:r>
    </w:p>
    <w:p>
      <w:pPr>
        <w:spacing w:line="360" w:lineRule="exact"/>
        <w:ind w:firstLine="420" w:firstLineChars="200"/>
        <w:rPr>
          <w:bCs/>
          <w:szCs w:val="21"/>
        </w:rPr>
      </w:pPr>
      <w:r>
        <w:rPr>
          <w:bCs/>
          <w:szCs w:val="21"/>
        </w:rPr>
        <w:t>分子项：烧碱综合能源消耗量。指用于烧碱生产的各种能源折标准煤后的总和。包括烧碱生产工艺系统、为烧碱生产服务的辅助系统和附属生产系统等的耗能量。</w:t>
      </w:r>
    </w:p>
    <w:p>
      <w:pPr>
        <w:spacing w:line="360" w:lineRule="exact"/>
        <w:ind w:firstLine="420" w:firstLineChars="200"/>
        <w:rPr>
          <w:bCs/>
          <w:szCs w:val="21"/>
        </w:rPr>
      </w:pPr>
      <w:r>
        <w:rPr>
          <w:bCs/>
          <w:szCs w:val="21"/>
        </w:rPr>
        <w:t>烧碱生产系统耗能量的统计范围：从原料投入开始，包括盐水制备、整流、电解、蒸发、蒸煮至成品烧碱包装入库为止的所有工艺用的电解用交流电、动力用电、蒸汽、油、煤等实际消耗量。</w:t>
      </w:r>
    </w:p>
    <w:p>
      <w:pPr>
        <w:spacing w:line="360" w:lineRule="exact"/>
        <w:ind w:firstLine="420" w:firstLineChars="200"/>
        <w:rPr>
          <w:bCs/>
          <w:szCs w:val="21"/>
        </w:rPr>
      </w:pPr>
      <w:r>
        <w:rPr>
          <w:bCs/>
          <w:szCs w:val="21"/>
        </w:rPr>
        <w:t>烧碱生产的辅助和附属系统耗能量的统计范围包括：电槽修理、阳极组装、石棉绒回收、炭极加工以及车间检修、车间分析、车间办公室、休息室、更衣室等各种耗能量。</w:t>
      </w:r>
    </w:p>
    <w:p>
      <w:pPr>
        <w:spacing w:line="360" w:lineRule="exact"/>
        <w:ind w:firstLine="420" w:firstLineChars="200"/>
        <w:rPr>
          <w:bCs/>
          <w:szCs w:val="21"/>
        </w:rPr>
      </w:pPr>
      <w:r>
        <w:rPr>
          <w:bCs/>
          <w:szCs w:val="21"/>
        </w:rPr>
        <w:t>分母项：烧碱（折</w:t>
      </w:r>
      <w:r>
        <w:rPr>
          <w:rFonts w:hint="eastAsia" w:ascii="宋体" w:hAnsi="宋体" w:cs="宋体"/>
          <w:bCs/>
          <w:szCs w:val="21"/>
        </w:rPr>
        <w:t>100％</w:t>
      </w:r>
      <w:r>
        <w:rPr>
          <w:bCs/>
          <w:szCs w:val="21"/>
        </w:rPr>
        <w:t>）产量。烧碱产量按折</w:t>
      </w:r>
      <w:r>
        <w:rPr>
          <w:rFonts w:hint="eastAsia" w:ascii="宋体" w:hAnsi="宋体" w:cs="宋体"/>
          <w:bCs/>
          <w:szCs w:val="21"/>
        </w:rPr>
        <w:t xml:space="preserve">100%纯量计算。烧碱（折100％） </w:t>
      </w:r>
      <w:r>
        <w:rPr>
          <w:bCs/>
          <w:szCs w:val="21"/>
        </w:rPr>
        <w:t>包括由盐水电解法或由纯碱（或天然碱）苛化法生产的液体氢氧化钠、氢气干燥和本企业其他产品自用的合格烧碱。不同方法生产的各种烧碱，经检验符合国家标准</w:t>
      </w:r>
      <w:r>
        <w:rPr>
          <w:rFonts w:hint="eastAsia" w:ascii="宋体" w:hAnsi="宋体" w:cs="宋体"/>
          <w:bCs/>
          <w:szCs w:val="21"/>
        </w:rPr>
        <w:t>（GB209-93），</w:t>
      </w:r>
      <w:r>
        <w:rPr>
          <w:bCs/>
          <w:szCs w:val="21"/>
        </w:rPr>
        <w:t>方可统计产量。产量中不包括在使用烧碱过程中回收的烧碱和生产烧碱过程中自用的电解碱液、浓缩碱液、回收盐液中的含碱量。企业填报烧碱产量，应将不同的生产方法（水银法、隔膜法、离子膜法、苛化法）生产的液碱折成</w:t>
      </w:r>
      <w:r>
        <w:rPr>
          <w:rFonts w:hint="eastAsia" w:ascii="宋体" w:hAnsi="宋体" w:cs="宋体"/>
          <w:bCs/>
          <w:szCs w:val="21"/>
        </w:rPr>
        <w:t>100％</w:t>
      </w:r>
      <w:r>
        <w:rPr>
          <w:bCs/>
          <w:szCs w:val="21"/>
        </w:rPr>
        <w:t>纯量后计算产量。</w:t>
      </w:r>
    </w:p>
    <w:p>
      <w:pPr>
        <w:spacing w:line="360" w:lineRule="exact"/>
        <w:ind w:firstLine="420" w:firstLineChars="200"/>
        <w:rPr>
          <w:rFonts w:eastAsia="黑体"/>
          <w:bCs/>
          <w:szCs w:val="21"/>
        </w:rPr>
      </w:pPr>
      <w:r>
        <w:rPr>
          <w:rFonts w:eastAsia="黑体"/>
          <w:bCs/>
          <w:szCs w:val="21"/>
        </w:rPr>
        <w:t xml:space="preserve">单位烧碱生产耗交流电  </w:t>
      </w:r>
    </w:p>
    <w:p>
      <w:pPr>
        <w:spacing w:line="360" w:lineRule="exact"/>
        <w:ind w:left="5145" w:leftChars="200" w:hanging="4725" w:hangingChars="2250"/>
        <w:rPr>
          <w:bCs/>
          <w:szCs w:val="21"/>
        </w:rPr>
      </w:pPr>
      <w:r>
        <w:rPr>
          <w:bCs/>
          <w:szCs w:val="21"/>
        </w:rPr>
        <w:t>计算公式：单位烧碱生产耗交流电（千瓦时</w:t>
      </w:r>
      <w:r>
        <w:rPr>
          <w:rFonts w:hint="eastAsia" w:ascii="宋体" w:hAnsi="宋体" w:cs="宋体"/>
          <w:bCs/>
          <w:szCs w:val="21"/>
        </w:rPr>
        <w:t>/</w:t>
      </w:r>
      <w:r>
        <w:rPr>
          <w:bCs/>
          <w:szCs w:val="21"/>
        </w:rPr>
        <w:t>吨）＝</w:t>
      </w:r>
      <w:r>
        <w:rPr>
          <w:rFonts w:hint="eastAsia" w:ascii="宋体" w:hAnsi="宋体" w:cs="宋体"/>
          <w:bCs/>
          <w:szCs w:val="21"/>
        </w:rPr>
        <w:t>10000×交流电消耗量（万千瓦时）／液体烧碱（折100%）产量（吨）</w:t>
      </w:r>
    </w:p>
    <w:p>
      <w:pPr>
        <w:spacing w:line="360" w:lineRule="exact"/>
        <w:ind w:firstLine="420" w:firstLineChars="200"/>
        <w:rPr>
          <w:bCs/>
          <w:szCs w:val="21"/>
        </w:rPr>
      </w:pPr>
      <w:r>
        <w:rPr>
          <w:bCs/>
          <w:szCs w:val="21"/>
        </w:rPr>
        <w:t xml:space="preserve">分子项：交流电消耗量。以电业局安装的直流耗交流电度表计量数值为准。没有安装电表的企业，以电业局安装的总交流电度表指示的交流电量，扣除动力系统安装的交流电度表的交流电量后，计算直流电所消耗的交流电量。 </w:t>
      </w:r>
    </w:p>
    <w:p>
      <w:pPr>
        <w:spacing w:line="360" w:lineRule="exact"/>
        <w:ind w:firstLine="420" w:firstLineChars="200"/>
        <w:rPr>
          <w:rFonts w:ascii="宋体" w:hAnsi="宋体" w:cs="宋体"/>
          <w:bCs/>
          <w:szCs w:val="21"/>
        </w:rPr>
      </w:pPr>
      <w:r>
        <w:rPr>
          <w:rFonts w:hint="eastAsia" w:ascii="宋体" w:hAnsi="宋体" w:cs="宋体"/>
          <w:bCs/>
          <w:szCs w:val="21"/>
        </w:rPr>
        <w:t>分母项：烧碱（折100％）产量。烧碱产量按折100%纯量计算。说明同上。</w:t>
      </w:r>
    </w:p>
    <w:p>
      <w:pPr>
        <w:spacing w:line="360" w:lineRule="exact"/>
        <w:ind w:firstLine="420" w:firstLineChars="200"/>
        <w:rPr>
          <w:rFonts w:eastAsia="黑体"/>
          <w:bCs/>
          <w:szCs w:val="21"/>
        </w:rPr>
      </w:pPr>
      <w:r>
        <w:rPr>
          <w:rFonts w:eastAsia="黑体"/>
          <w:bCs/>
          <w:szCs w:val="21"/>
        </w:rPr>
        <w:t xml:space="preserve">单位纯碱生产综合能耗  </w:t>
      </w:r>
    </w:p>
    <w:p>
      <w:pPr>
        <w:spacing w:line="360" w:lineRule="exact"/>
        <w:ind w:left="5565" w:leftChars="200" w:hanging="5145" w:hangingChars="2450"/>
        <w:rPr>
          <w:bCs/>
          <w:szCs w:val="21"/>
        </w:rPr>
      </w:pPr>
      <w:r>
        <w:rPr>
          <w:bCs/>
          <w:szCs w:val="21"/>
        </w:rPr>
        <w:t>计算公式：单位纯碱生产综合能耗（千克标准煤</w:t>
      </w:r>
      <w:r>
        <w:rPr>
          <w:rFonts w:hint="eastAsia" w:ascii="宋体" w:hAnsi="宋体" w:cs="宋体"/>
          <w:bCs/>
          <w:szCs w:val="21"/>
        </w:rPr>
        <w:t>/</w:t>
      </w:r>
      <w:r>
        <w:rPr>
          <w:bCs/>
          <w:szCs w:val="21"/>
        </w:rPr>
        <w:t>吨）＝</w:t>
      </w:r>
      <w:r>
        <w:rPr>
          <w:rFonts w:hint="eastAsia" w:ascii="宋体" w:hAnsi="宋体" w:cs="宋体"/>
          <w:bCs/>
          <w:szCs w:val="21"/>
        </w:rPr>
        <w:t>1000×纯碱综合能源消耗总量（吨标准煤）／纯碱（碳酸钠）产量（吨）</w:t>
      </w:r>
    </w:p>
    <w:p>
      <w:pPr>
        <w:spacing w:line="360" w:lineRule="exact"/>
        <w:ind w:firstLine="420" w:firstLineChars="200"/>
        <w:rPr>
          <w:bCs/>
          <w:szCs w:val="21"/>
        </w:rPr>
      </w:pPr>
      <w:r>
        <w:rPr>
          <w:bCs/>
          <w:szCs w:val="21"/>
        </w:rPr>
        <w:t>分子项：纯碱综合能源消耗总量。指在报告期内，从能源投入开始，至成品入库为止的生产全过程以及中、小修，事故处理所耗用的能源。其中应扣除系统向外输出的物料及能源量。纯碱综合能源消耗分为氨碱法用能和联碱法用能两种。</w:t>
      </w:r>
    </w:p>
    <w:p>
      <w:pPr>
        <w:spacing w:line="360" w:lineRule="exact"/>
        <w:ind w:firstLine="420" w:firstLineChars="200"/>
        <w:rPr>
          <w:bCs/>
          <w:szCs w:val="21"/>
        </w:rPr>
      </w:pPr>
      <w:r>
        <w:rPr>
          <w:bCs/>
          <w:szCs w:val="21"/>
        </w:rPr>
        <w:t>氨碱法用能：包括化盐及盐水精制、氨盐水制、碳化和重碱过滤、重碱煅烧、氨回收、石灰石煅烧等生产系统工序用能和辅助生产系统用能。不包括锅炉耗能。</w:t>
      </w:r>
    </w:p>
    <w:p>
      <w:pPr>
        <w:spacing w:line="360" w:lineRule="exact"/>
        <w:ind w:firstLine="420" w:firstLineChars="200"/>
        <w:rPr>
          <w:bCs/>
          <w:szCs w:val="21"/>
        </w:rPr>
      </w:pPr>
      <w:r>
        <w:rPr>
          <w:bCs/>
          <w:szCs w:val="21"/>
        </w:rPr>
        <w:t>联碱法用能：包括洗盐、氨母液制备、碳化和重碱过滤、重碱煅烧、氯化铵结晶等生产系统工序用能和辅助生产系统用能。不包括合成氨耗能。</w:t>
      </w:r>
    </w:p>
    <w:p>
      <w:pPr>
        <w:spacing w:line="360" w:lineRule="exact"/>
        <w:ind w:firstLine="420" w:firstLineChars="200"/>
        <w:rPr>
          <w:bCs/>
          <w:szCs w:val="21"/>
        </w:rPr>
      </w:pPr>
      <w:r>
        <w:rPr>
          <w:bCs/>
          <w:szCs w:val="21"/>
        </w:rPr>
        <w:t>仅生产单一纯碱产品的企业，产品能源消耗量就是企业的能源消耗总量。</w:t>
      </w:r>
    </w:p>
    <w:p>
      <w:pPr>
        <w:spacing w:line="360" w:lineRule="exact"/>
        <w:ind w:firstLine="420" w:firstLineChars="200"/>
        <w:rPr>
          <w:bCs/>
          <w:szCs w:val="21"/>
        </w:rPr>
      </w:pPr>
      <w:r>
        <w:rPr>
          <w:bCs/>
          <w:szCs w:val="21"/>
        </w:rPr>
        <w:t>生产多个产品，辅助生产系统和附属生产系统用能，要按照产品的能耗比例合理分摊到各个产品中，通过计量表送入生产系统的以计量表计量的数量计算。现场检修、自备运输工具、附属生产系统用能的分摊，需要企业制定合理的分摊系数，一般根据产品能耗的大小、产量的多少、产品生产车间人员的多少，综合考虑确定分摊系数。</w:t>
      </w:r>
    </w:p>
    <w:p>
      <w:pPr>
        <w:spacing w:line="360" w:lineRule="exact"/>
        <w:ind w:firstLine="420" w:firstLineChars="200"/>
        <w:rPr>
          <w:bCs/>
          <w:szCs w:val="21"/>
        </w:rPr>
      </w:pPr>
      <w:r>
        <w:rPr>
          <w:bCs/>
          <w:szCs w:val="21"/>
        </w:rPr>
        <w:t>分母项：纯碱（碳酸钠）产量。指氨碱法和联碱法生产的无水碳酸钠，及以天然碱为原料加工的精制碱。纯碱均按国家标准</w:t>
      </w:r>
      <w:r>
        <w:rPr>
          <w:rFonts w:hint="eastAsia" w:ascii="宋体" w:hAnsi="宋体" w:cs="宋体"/>
          <w:bCs/>
          <w:szCs w:val="21"/>
        </w:rPr>
        <w:t>（GB210-92）</w:t>
      </w:r>
      <w:r>
        <w:rPr>
          <w:bCs/>
          <w:szCs w:val="21"/>
        </w:rPr>
        <w:t>检验，合格者统计产量。未经煅烧的重碱和清扫设备、场地收集的不合格纯碱，均不统计纯碱产量。纯碱产量按合格品的实物量计算。</w:t>
      </w:r>
    </w:p>
    <w:p>
      <w:pPr>
        <w:spacing w:line="360" w:lineRule="exact"/>
        <w:ind w:firstLine="420" w:firstLineChars="200"/>
        <w:rPr>
          <w:bCs/>
          <w:szCs w:val="21"/>
        </w:rPr>
      </w:pPr>
      <w:r>
        <w:rPr>
          <w:bCs/>
          <w:szCs w:val="21"/>
        </w:rPr>
        <w:t>纯碱生产能耗计算有关问题的补充规定：</w:t>
      </w:r>
    </w:p>
    <w:p>
      <w:pPr>
        <w:spacing w:line="360" w:lineRule="exact"/>
        <w:ind w:firstLine="420" w:firstLineChars="200"/>
        <w:rPr>
          <w:rFonts w:ascii="宋体" w:hAnsi="宋体" w:cs="宋体"/>
          <w:bCs/>
          <w:szCs w:val="21"/>
        </w:rPr>
      </w:pPr>
      <w:r>
        <w:rPr>
          <w:rFonts w:hint="eastAsia" w:ascii="宋体" w:hAnsi="宋体" w:cs="宋体"/>
          <w:bCs/>
          <w:szCs w:val="21"/>
        </w:rPr>
        <w:t>（1）企业自用碱计入碱产量；</w:t>
      </w:r>
    </w:p>
    <w:p>
      <w:pPr>
        <w:spacing w:line="360" w:lineRule="exact"/>
        <w:ind w:firstLine="420" w:firstLineChars="200"/>
        <w:rPr>
          <w:rFonts w:ascii="宋体" w:hAnsi="宋体" w:cs="宋体"/>
          <w:bCs/>
          <w:szCs w:val="21"/>
        </w:rPr>
      </w:pPr>
      <w:r>
        <w:rPr>
          <w:rFonts w:hint="eastAsia" w:ascii="宋体" w:hAnsi="宋体" w:cs="宋体"/>
          <w:bCs/>
          <w:szCs w:val="21"/>
        </w:rPr>
        <w:t>（2）自备电站能耗不计入纯碱能耗统计范围；</w:t>
      </w:r>
    </w:p>
    <w:p>
      <w:pPr>
        <w:spacing w:line="360" w:lineRule="exact"/>
        <w:ind w:firstLine="420" w:firstLineChars="200"/>
        <w:rPr>
          <w:rFonts w:ascii="宋体" w:hAnsi="宋体" w:cs="宋体"/>
          <w:bCs/>
          <w:szCs w:val="21"/>
        </w:rPr>
      </w:pPr>
      <w:r>
        <w:rPr>
          <w:rFonts w:hint="eastAsia" w:ascii="宋体" w:hAnsi="宋体" w:cs="宋体"/>
          <w:bCs/>
          <w:szCs w:val="21"/>
        </w:rPr>
        <w:t>（3）分别计算轻质纯碱和重质纯碱的能耗。重质纯碱的能耗应包括轻质纯碱的能耗和由轻质纯碱生产重质纯碱增加的能耗；</w:t>
      </w:r>
    </w:p>
    <w:p>
      <w:pPr>
        <w:spacing w:line="360" w:lineRule="exact"/>
        <w:ind w:firstLine="420" w:firstLineChars="200"/>
        <w:rPr>
          <w:rFonts w:ascii="宋体" w:hAnsi="宋体" w:cs="宋体"/>
          <w:bCs/>
          <w:szCs w:val="21"/>
        </w:rPr>
      </w:pPr>
      <w:r>
        <w:rPr>
          <w:rFonts w:hint="eastAsia" w:ascii="宋体" w:hAnsi="宋体" w:cs="宋体"/>
          <w:bCs/>
          <w:szCs w:val="21"/>
        </w:rPr>
        <w:t>（4）计算联碱双吨能耗时，要注明氯化铵是干铵还是湿铵。既生产干铵又生产湿铵的联碱企业，要分别计算生产干铵的双吨能耗和生产湿铵的双吨能耗。生产干铵的双吨能耗，应包括生产湿铵的能耗和由湿铵生产干铵增加的能耗；</w:t>
      </w:r>
    </w:p>
    <w:p>
      <w:pPr>
        <w:spacing w:line="360" w:lineRule="exact"/>
        <w:ind w:firstLine="420" w:firstLineChars="200"/>
        <w:rPr>
          <w:rFonts w:ascii="宋体" w:hAnsi="宋体" w:cs="宋体"/>
          <w:bCs/>
          <w:szCs w:val="21"/>
        </w:rPr>
      </w:pPr>
      <w:r>
        <w:rPr>
          <w:rFonts w:hint="eastAsia" w:ascii="宋体" w:hAnsi="宋体" w:cs="宋体"/>
          <w:bCs/>
          <w:szCs w:val="21"/>
        </w:rPr>
        <w:t>（5）纯碱系统没有单独设立取水系统和循环水系统的企业，纯碱与其他产品按实际用水量合理分摊用水能耗；</w:t>
      </w:r>
    </w:p>
    <w:p>
      <w:pPr>
        <w:spacing w:line="360" w:lineRule="exact"/>
        <w:ind w:firstLine="420" w:firstLineChars="200"/>
        <w:rPr>
          <w:rFonts w:ascii="宋体" w:hAnsi="宋体" w:cs="宋体"/>
          <w:bCs/>
          <w:szCs w:val="21"/>
        </w:rPr>
      </w:pPr>
      <w:r>
        <w:rPr>
          <w:rFonts w:hint="eastAsia" w:ascii="宋体" w:hAnsi="宋体" w:cs="宋体"/>
          <w:bCs/>
          <w:szCs w:val="21"/>
        </w:rPr>
        <w:t>（6）采用浓气制碱的联碱企业，合成氨脱碳工序的能耗计入合成氨的能耗，不计入联碱能耗。往联碱输送二氧化碳的低压机的能耗计入联碱能耗；</w:t>
      </w:r>
    </w:p>
    <w:p>
      <w:pPr>
        <w:spacing w:line="360" w:lineRule="exact"/>
        <w:ind w:firstLine="420" w:firstLineChars="200"/>
        <w:rPr>
          <w:rFonts w:ascii="宋体" w:hAnsi="宋体" w:cs="宋体"/>
          <w:bCs/>
          <w:szCs w:val="21"/>
        </w:rPr>
      </w:pPr>
      <w:r>
        <w:rPr>
          <w:rFonts w:hint="eastAsia" w:ascii="宋体" w:hAnsi="宋体" w:cs="宋体"/>
          <w:bCs/>
          <w:szCs w:val="21"/>
        </w:rPr>
        <w:t>（7）采用变换气制碱的联碱企业，压缩机的能耗计入合成氨的能耗，不计入联碱能耗。设在联碱碳化塔前或塔后的升压机的能耗计入联碱能耗。</w:t>
      </w:r>
    </w:p>
    <w:p>
      <w:pPr>
        <w:spacing w:line="360" w:lineRule="exact"/>
        <w:ind w:firstLine="420" w:firstLineChars="200"/>
        <w:rPr>
          <w:rFonts w:eastAsia="黑体"/>
          <w:bCs/>
          <w:szCs w:val="21"/>
        </w:rPr>
      </w:pPr>
      <w:r>
        <w:rPr>
          <w:rFonts w:eastAsia="黑体"/>
          <w:bCs/>
          <w:szCs w:val="21"/>
        </w:rPr>
        <w:t xml:space="preserve">单位纯碱生产耗电  </w:t>
      </w:r>
    </w:p>
    <w:p>
      <w:pPr>
        <w:spacing w:line="360" w:lineRule="exact"/>
        <w:ind w:left="4724" w:leftChars="205" w:hanging="4294" w:hangingChars="2045"/>
        <w:rPr>
          <w:bCs/>
          <w:szCs w:val="21"/>
        </w:rPr>
      </w:pPr>
      <w:r>
        <w:rPr>
          <w:bCs/>
          <w:szCs w:val="21"/>
        </w:rPr>
        <w:t>计算公式：单位纯碱生产耗电（千瓦时</w:t>
      </w:r>
      <w:r>
        <w:rPr>
          <w:rFonts w:hint="eastAsia" w:ascii="宋体" w:hAnsi="宋体" w:cs="宋体"/>
          <w:bCs/>
          <w:szCs w:val="21"/>
        </w:rPr>
        <w:t>/</w:t>
      </w:r>
      <w:r>
        <w:rPr>
          <w:bCs/>
          <w:szCs w:val="21"/>
        </w:rPr>
        <w:t>吨）＝</w:t>
      </w:r>
      <w:r>
        <w:rPr>
          <w:rFonts w:hint="eastAsia" w:ascii="宋体" w:hAnsi="宋体" w:cs="宋体"/>
          <w:bCs/>
          <w:szCs w:val="21"/>
        </w:rPr>
        <w:t>10000×纯碱生产耗电总量（万千瓦时）／纯碱（碳酸钠）产量（吨）</w:t>
      </w:r>
    </w:p>
    <w:p>
      <w:pPr>
        <w:spacing w:line="360" w:lineRule="exact"/>
        <w:ind w:firstLine="420" w:firstLineChars="200"/>
        <w:rPr>
          <w:bCs/>
          <w:szCs w:val="21"/>
        </w:rPr>
      </w:pPr>
      <w:r>
        <w:rPr>
          <w:bCs/>
          <w:szCs w:val="21"/>
        </w:rPr>
        <w:t>分子项：纯碱生产耗电总量。包括纯碱生产系统以及为纯碱生产服务的辅助系统和附属生产系统耗电量。</w:t>
      </w:r>
    </w:p>
    <w:p>
      <w:pPr>
        <w:spacing w:line="360" w:lineRule="exact"/>
        <w:ind w:firstLine="420" w:firstLineChars="200"/>
        <w:rPr>
          <w:bCs/>
          <w:szCs w:val="21"/>
        </w:rPr>
      </w:pPr>
      <w:r>
        <w:rPr>
          <w:bCs/>
          <w:szCs w:val="21"/>
        </w:rPr>
        <w:t>分母项：纯碱（碳酸钠）产量。说明同上。</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无机盐（26）</w:t>
      </w:r>
    </w:p>
    <w:p>
      <w:pPr>
        <w:spacing w:line="360" w:lineRule="exact"/>
        <w:ind w:firstLine="420" w:firstLineChars="200"/>
        <w:rPr>
          <w:szCs w:val="21"/>
        </w:rPr>
      </w:pPr>
      <w:r>
        <w:rPr>
          <w:rFonts w:eastAsia="黑体"/>
          <w:szCs w:val="21"/>
        </w:rPr>
        <w:t>单位电石生产综合能耗</w:t>
      </w:r>
      <w:r>
        <w:rPr>
          <w:szCs w:val="21"/>
        </w:rPr>
        <w:t xml:space="preserve"> </w:t>
      </w:r>
    </w:p>
    <w:p>
      <w:pPr>
        <w:spacing w:line="360" w:lineRule="exact"/>
        <w:ind w:left="5565" w:leftChars="200" w:hanging="5145" w:hangingChars="2450"/>
        <w:rPr>
          <w:rFonts w:ascii="宋体" w:hAnsi="宋体" w:cs="宋体"/>
          <w:szCs w:val="21"/>
        </w:rPr>
      </w:pPr>
      <w:r>
        <w:rPr>
          <w:szCs w:val="21"/>
        </w:rPr>
        <w:t>计算公式：单位电石生产综合能耗（千克标准煤</w:t>
      </w:r>
      <w:r>
        <w:rPr>
          <w:rFonts w:hint="eastAsia" w:ascii="宋体" w:hAnsi="宋体" w:cs="宋体"/>
          <w:szCs w:val="21"/>
        </w:rPr>
        <w:t>/</w:t>
      </w:r>
      <w:r>
        <w:rPr>
          <w:szCs w:val="21"/>
        </w:rPr>
        <w:t>吨）＝</w:t>
      </w:r>
      <w:r>
        <w:rPr>
          <w:rFonts w:hint="eastAsia" w:ascii="宋体" w:hAnsi="宋体" w:cs="宋体"/>
          <w:szCs w:val="21"/>
        </w:rPr>
        <w:t>1000×电石综合能源消耗总量（吨标准煤）／碳化钙（电石，折300升/千克）产量（吨）</w:t>
      </w:r>
    </w:p>
    <w:p>
      <w:pPr>
        <w:spacing w:line="360" w:lineRule="exact"/>
        <w:ind w:firstLine="420" w:firstLineChars="200"/>
        <w:rPr>
          <w:szCs w:val="21"/>
        </w:rPr>
      </w:pPr>
      <w:r>
        <w:rPr>
          <w:szCs w:val="21"/>
        </w:rPr>
        <w:t>分子项：电石综合能源消耗总量。指从焦炭等原材料和能源，经计量进入电石生产开始，到电石成品计量入库的电石产品的整个生产过程的用能量。生产过程是由生产系统工艺装置、辅助生产系统和附属生产系统设施三部分组成。</w:t>
      </w:r>
    </w:p>
    <w:p>
      <w:pPr>
        <w:spacing w:line="360" w:lineRule="exact"/>
        <w:ind w:firstLine="420" w:firstLineChars="200"/>
        <w:rPr>
          <w:szCs w:val="21"/>
        </w:rPr>
      </w:pPr>
      <w:r>
        <w:rPr>
          <w:szCs w:val="21"/>
        </w:rPr>
        <w:t>综合能耗应扣除向外输出的能源。向电石生产界区外输出的密闭炉气和回收的余热，按向外输出能源计算。调出的焦（煤）粉，自产自用的石灰，按向外输出的能源计算，其热值按实测低位热值计算。</w:t>
      </w:r>
    </w:p>
    <w:p>
      <w:pPr>
        <w:spacing w:line="360" w:lineRule="exact"/>
        <w:ind w:firstLine="420" w:firstLineChars="200"/>
        <w:rPr>
          <w:szCs w:val="21"/>
        </w:rPr>
      </w:pPr>
      <w:r>
        <w:rPr>
          <w:szCs w:val="21"/>
        </w:rPr>
        <w:t>电石产品综合能耗包括：</w:t>
      </w:r>
    </w:p>
    <w:p>
      <w:pPr>
        <w:spacing w:line="360" w:lineRule="exact"/>
        <w:ind w:firstLine="357" w:firstLineChars="170"/>
        <w:rPr>
          <w:rFonts w:ascii="宋体" w:hAnsi="宋体" w:cs="宋体"/>
          <w:szCs w:val="21"/>
        </w:rPr>
      </w:pPr>
      <w:r>
        <w:rPr>
          <w:rFonts w:hint="eastAsia" w:ascii="宋体" w:hAnsi="宋体" w:cs="宋体"/>
          <w:szCs w:val="21"/>
        </w:rPr>
        <w:t>（1）电力消耗包括电炉、动力、除尘和照明用电。</w:t>
      </w:r>
    </w:p>
    <w:p>
      <w:pPr>
        <w:spacing w:line="360" w:lineRule="exact"/>
        <w:ind w:firstLine="357" w:firstLineChars="170"/>
        <w:rPr>
          <w:rFonts w:ascii="宋体" w:hAnsi="宋体" w:cs="宋体"/>
          <w:szCs w:val="21"/>
        </w:rPr>
      </w:pPr>
      <w:r>
        <w:rPr>
          <w:rFonts w:hint="eastAsia" w:ascii="宋体" w:hAnsi="宋体" w:cs="宋体"/>
          <w:szCs w:val="21"/>
        </w:rPr>
        <w:t>（2）碳素原料包括焦炭、石油焦、无烟煤、电极糊和其他碳素还原剂等。以进入生产后第一道工序为计量点。</w:t>
      </w:r>
    </w:p>
    <w:p>
      <w:pPr>
        <w:spacing w:line="360" w:lineRule="exact"/>
        <w:ind w:firstLine="357" w:firstLineChars="170"/>
        <w:rPr>
          <w:rFonts w:ascii="宋体" w:hAnsi="宋体" w:cs="宋体"/>
          <w:szCs w:val="21"/>
        </w:rPr>
      </w:pPr>
      <w:r>
        <w:rPr>
          <w:rFonts w:hint="eastAsia" w:ascii="宋体" w:hAnsi="宋体" w:cs="宋体"/>
          <w:szCs w:val="21"/>
        </w:rPr>
        <w:t>（3）干燥焦炭耗燃料，计算起点同上。如果使用电石生产的余热干燥焦炭时，其余热不计算燃料消耗。</w:t>
      </w:r>
    </w:p>
    <w:p>
      <w:pPr>
        <w:spacing w:line="360" w:lineRule="exact"/>
        <w:ind w:firstLine="357" w:firstLineChars="170"/>
        <w:rPr>
          <w:rFonts w:ascii="宋体" w:hAnsi="宋体" w:cs="宋体"/>
          <w:szCs w:val="21"/>
        </w:rPr>
      </w:pPr>
      <w:r>
        <w:rPr>
          <w:rFonts w:hint="eastAsia" w:ascii="宋体" w:hAnsi="宋体" w:cs="宋体"/>
          <w:szCs w:val="21"/>
        </w:rPr>
        <w:t>（4）辅助生产系统消耗的能源，指各辅助工序（包括电石生产界区内自石灰进厂到电石成品入库止）所消耗的能源。（前项中计算过的不得重复统计）</w:t>
      </w:r>
    </w:p>
    <w:p>
      <w:pPr>
        <w:spacing w:line="360" w:lineRule="exact"/>
        <w:ind w:firstLine="357" w:firstLineChars="170"/>
        <w:rPr>
          <w:rFonts w:ascii="宋体" w:hAnsi="宋体" w:cs="宋体"/>
          <w:szCs w:val="21"/>
        </w:rPr>
      </w:pPr>
      <w:r>
        <w:rPr>
          <w:rFonts w:hint="eastAsia" w:ascii="宋体" w:hAnsi="宋体" w:cs="宋体"/>
          <w:szCs w:val="21"/>
        </w:rPr>
        <w:t>（5）附属生产系统消耗的能源，包括电石生产界区内维修工段、化验室、控制室、库房及车间办公室等消耗的能源。</w:t>
      </w:r>
    </w:p>
    <w:p>
      <w:pPr>
        <w:spacing w:line="360" w:lineRule="exact"/>
        <w:ind w:firstLine="420" w:firstLineChars="200"/>
        <w:rPr>
          <w:szCs w:val="21"/>
        </w:rPr>
      </w:pPr>
      <w:r>
        <w:rPr>
          <w:szCs w:val="21"/>
        </w:rPr>
        <w:t>由于各种能源的热值不同，计算综合能耗时要将各种能源折成标准能源单位（标准煤）。企业外购的各种能源，其热值采用该地区或该企业在报告期内实测的低位热值。没有实测条件的，可采用能源统计报表制度中的参考折标系数。</w:t>
      </w:r>
    </w:p>
    <w:p>
      <w:pPr>
        <w:spacing w:line="360" w:lineRule="exact"/>
        <w:ind w:firstLine="420" w:firstLineChars="200"/>
        <w:rPr>
          <w:rFonts w:ascii="宋体" w:hAnsi="宋体" w:cs="宋体"/>
          <w:szCs w:val="21"/>
        </w:rPr>
      </w:pPr>
      <w:r>
        <w:rPr>
          <w:szCs w:val="21"/>
        </w:rPr>
        <w:t>企业外购电力采用当量热值折标系数，即</w:t>
      </w:r>
      <w:r>
        <w:rPr>
          <w:rFonts w:hint="eastAsia" w:ascii="宋体" w:hAnsi="宋体" w:cs="宋体"/>
          <w:szCs w:val="21"/>
        </w:rPr>
        <w:t>1.229吨标准煤/万千瓦时。</w:t>
      </w:r>
    </w:p>
    <w:p>
      <w:pPr>
        <w:spacing w:line="360" w:lineRule="exact"/>
        <w:ind w:firstLine="420" w:firstLineChars="200"/>
        <w:rPr>
          <w:rFonts w:ascii="宋体" w:hAnsi="宋体" w:cs="宋体"/>
          <w:szCs w:val="21"/>
        </w:rPr>
      </w:pPr>
      <w:r>
        <w:rPr>
          <w:rFonts w:hint="eastAsia" w:ascii="宋体" w:hAnsi="宋体" w:cs="宋体"/>
          <w:szCs w:val="21"/>
        </w:rPr>
        <w:t>分母项：碳化钙（电石，折300升/千克）产量。电石是用碳素材料和生石灰在高温电炉中化合而制得的碳化钙。凡符合国家标准（GB10665-89）规定技术条件1（电石粒度）和2（电石质量）要求的电石，均可统计产量。电石产量包括商品量和自用量。商品量应在包装检验合格入库以后计算产量，自用量按输送到使用车间头道工序的数量计算产量。</w:t>
      </w:r>
    </w:p>
    <w:p>
      <w:pPr>
        <w:spacing w:line="360" w:lineRule="exact"/>
        <w:ind w:firstLine="420" w:firstLineChars="200"/>
        <w:rPr>
          <w:rFonts w:ascii="宋体" w:hAnsi="宋体" w:cs="宋体"/>
          <w:szCs w:val="21"/>
        </w:rPr>
      </w:pPr>
      <w:r>
        <w:rPr>
          <w:rFonts w:hint="eastAsia" w:ascii="宋体" w:hAnsi="宋体" w:cs="宋体"/>
          <w:szCs w:val="21"/>
        </w:rPr>
        <w:t>电石产量按折合标准发气量（300升/千克）计算。电石发气量，指每一千克电石在20℃、760毫米汞柱压力下与水作用，所发生的干乙炔气体体积（以升计量）。</w:t>
      </w:r>
    </w:p>
    <w:p>
      <w:pPr>
        <w:spacing w:line="360" w:lineRule="exact"/>
        <w:ind w:firstLine="420" w:firstLineChars="200"/>
        <w:rPr>
          <w:rFonts w:ascii="宋体" w:hAnsi="宋体" w:cs="宋体"/>
          <w:szCs w:val="21"/>
        </w:rPr>
      </w:pPr>
      <w:r>
        <w:rPr>
          <w:rFonts w:hint="eastAsia" w:ascii="宋体" w:hAnsi="宋体" w:cs="宋体"/>
          <w:szCs w:val="21"/>
        </w:rPr>
        <w:t>碳化钙（电石，折300升/千克）产量（吨）＝∑各批合格电石实物产量（吨）×[各批电石实际发气量（升／千克）/300（升／千克）]</w:t>
      </w:r>
    </w:p>
    <w:p>
      <w:pPr>
        <w:spacing w:line="360" w:lineRule="exact"/>
        <w:ind w:firstLine="420" w:firstLineChars="200"/>
        <w:rPr>
          <w:rFonts w:eastAsia="黑体"/>
          <w:szCs w:val="21"/>
        </w:rPr>
      </w:pPr>
      <w:r>
        <w:rPr>
          <w:rFonts w:eastAsia="黑体"/>
          <w:szCs w:val="21"/>
        </w:rPr>
        <w:t xml:space="preserve">单位电石生产耗电 </w:t>
      </w:r>
    </w:p>
    <w:p>
      <w:pPr>
        <w:spacing w:line="360" w:lineRule="exact"/>
        <w:ind w:left="4618" w:leftChars="207" w:hanging="4183" w:hangingChars="1992"/>
        <w:rPr>
          <w:rFonts w:ascii="宋体" w:hAnsi="宋体" w:cs="宋体"/>
          <w:szCs w:val="21"/>
        </w:rPr>
      </w:pPr>
      <w:r>
        <w:rPr>
          <w:szCs w:val="21"/>
        </w:rPr>
        <w:t>计算公式：单位电石生产耗电（千瓦时/吨）＝</w:t>
      </w:r>
      <w:r>
        <w:rPr>
          <w:rFonts w:hint="eastAsia" w:ascii="宋体" w:hAnsi="宋体" w:cs="宋体"/>
          <w:szCs w:val="21"/>
        </w:rPr>
        <w:t>10000×电石生产耗电总量（万千瓦时）／碳化钙（电石，折300升/千克）产量（吨）</w:t>
      </w:r>
    </w:p>
    <w:p>
      <w:pPr>
        <w:spacing w:line="360" w:lineRule="exact"/>
        <w:ind w:firstLine="420" w:firstLineChars="200"/>
        <w:rPr>
          <w:rFonts w:ascii="宋体" w:hAnsi="宋体" w:cs="宋体"/>
          <w:szCs w:val="21"/>
        </w:rPr>
      </w:pPr>
      <w:r>
        <w:rPr>
          <w:rFonts w:hint="eastAsia" w:ascii="宋体" w:hAnsi="宋体" w:cs="宋体"/>
          <w:szCs w:val="21"/>
        </w:rPr>
        <w:t>分子项：电石生产耗电量。包括电石生产系统以及为电石生产服务的辅助系统和附属生产系统耗电量，包括电炉工艺用电和动力电。</w:t>
      </w:r>
    </w:p>
    <w:p>
      <w:pPr>
        <w:spacing w:line="360" w:lineRule="exact"/>
        <w:ind w:firstLine="420" w:firstLineChars="200"/>
        <w:rPr>
          <w:rFonts w:ascii="宋体" w:hAnsi="宋体" w:cs="宋体"/>
          <w:szCs w:val="21"/>
        </w:rPr>
      </w:pPr>
      <w:r>
        <w:rPr>
          <w:rFonts w:hint="eastAsia" w:ascii="宋体" w:hAnsi="宋体" w:cs="宋体"/>
          <w:szCs w:val="21"/>
        </w:rPr>
        <w:t>分母项：碳化钙（电石，折300升/千克）产量。说明同上。</w:t>
      </w:r>
    </w:p>
    <w:p>
      <w:pPr>
        <w:spacing w:line="360" w:lineRule="exact"/>
        <w:ind w:firstLine="420" w:firstLineChars="200"/>
        <w:rPr>
          <w:rFonts w:eastAsia="黑体"/>
          <w:szCs w:val="21"/>
        </w:rPr>
      </w:pPr>
      <w:r>
        <w:rPr>
          <w:rFonts w:eastAsia="黑体"/>
          <w:szCs w:val="21"/>
        </w:rPr>
        <w:t xml:space="preserve">单位黄磷生产综合能耗  </w:t>
      </w:r>
    </w:p>
    <w:p>
      <w:pPr>
        <w:spacing w:line="360" w:lineRule="exact"/>
        <w:ind w:left="5565" w:leftChars="200" w:hanging="5145" w:hangingChars="2450"/>
        <w:rPr>
          <w:rFonts w:ascii="宋体" w:hAnsi="宋体" w:cs="宋体"/>
          <w:szCs w:val="21"/>
        </w:rPr>
      </w:pPr>
      <w:r>
        <w:rPr>
          <w:szCs w:val="21"/>
        </w:rPr>
        <w:t>计算公式：单位黄磷生产综合能耗（千克标准煤</w:t>
      </w:r>
      <w:r>
        <w:rPr>
          <w:rFonts w:hint="eastAsia" w:ascii="宋体" w:hAnsi="宋体" w:cs="宋体"/>
          <w:szCs w:val="21"/>
        </w:rPr>
        <w:t>/</w:t>
      </w:r>
      <w:r>
        <w:rPr>
          <w:szCs w:val="21"/>
        </w:rPr>
        <w:t>吨）＝</w:t>
      </w:r>
      <w:r>
        <w:rPr>
          <w:rFonts w:hint="eastAsia" w:ascii="宋体" w:hAnsi="宋体" w:cs="宋体"/>
          <w:szCs w:val="21"/>
        </w:rPr>
        <w:t>1000×黄磷综合能源消耗总量（吨标准煤）／黄磷产量（吨）</w:t>
      </w:r>
    </w:p>
    <w:p>
      <w:pPr>
        <w:spacing w:line="360" w:lineRule="exact"/>
        <w:ind w:firstLine="420" w:firstLineChars="200"/>
        <w:rPr>
          <w:szCs w:val="21"/>
        </w:rPr>
      </w:pPr>
      <w:r>
        <w:rPr>
          <w:szCs w:val="21"/>
        </w:rPr>
        <w:t>分子项：黄磷综合能源消耗总量。指黄磷生产界区（从磷矿、焦炭、硅石、电力、蒸汽等原材料和能源经计量进入工序开始，到成品黄磷计量入库和黄磷“三废”经处理送出为止的整个生产过程）消耗的能源。包括黄磷生产系统、辅助生产系统和附属生产系统的各种能源消耗量和损失量，以及用作原料、材料的能源。不包括基建、技改项目建设及以生活为目的的能耗；不包括向外输出的能源。</w:t>
      </w:r>
    </w:p>
    <w:p>
      <w:pPr>
        <w:spacing w:line="360" w:lineRule="exact"/>
        <w:ind w:firstLine="420" w:firstLineChars="200"/>
        <w:rPr>
          <w:szCs w:val="21"/>
        </w:rPr>
      </w:pPr>
      <w:r>
        <w:rPr>
          <w:szCs w:val="21"/>
        </w:rPr>
        <w:t>黄磷生产消耗的能源主要有煤炭、石油、天然气、电力、焦炭、煤气、电石、碳素制品、蒸汽；消耗的耗能工质有水、氧气、氮气、压缩空气等。耗能工质不包括自产的耗能工质，但包括其所消耗的能源。企业黄磷生产界区外的辅助生产系统、附属生产系统能源消耗量和损失量应按能耗比例法分摊。碳素砖、润滑油的消耗不计入产品综合能耗。</w:t>
      </w:r>
    </w:p>
    <w:p>
      <w:pPr>
        <w:spacing w:line="360" w:lineRule="exact"/>
        <w:ind w:firstLine="420" w:firstLineChars="200"/>
        <w:rPr>
          <w:szCs w:val="21"/>
        </w:rPr>
      </w:pPr>
      <w:r>
        <w:rPr>
          <w:szCs w:val="21"/>
        </w:rPr>
        <w:t>焦炭（或无烟煤）消耗，包括实际入炉量和损失量，不包括调出的焦（煤）粉。供辅助、附属生产系统的焦（煤）粉按比例分摊法计入总能耗。</w:t>
      </w:r>
    </w:p>
    <w:p>
      <w:pPr>
        <w:spacing w:line="360" w:lineRule="exact"/>
        <w:ind w:firstLine="420" w:firstLineChars="200"/>
        <w:rPr>
          <w:szCs w:val="21"/>
        </w:rPr>
      </w:pPr>
      <w:r>
        <w:rPr>
          <w:szCs w:val="21"/>
        </w:rPr>
        <w:t>黄磷生产界区内回收本界区内产生的余热、余能及化学反应热，不计入能源消耗量。供界区外装置回收利用的，应按其实际回收的能量从本界区能耗中扣除。</w:t>
      </w:r>
    </w:p>
    <w:p>
      <w:pPr>
        <w:spacing w:line="360" w:lineRule="exact"/>
        <w:ind w:firstLine="420" w:firstLineChars="200"/>
        <w:rPr>
          <w:rFonts w:eastAsia="黑体"/>
          <w:szCs w:val="21"/>
        </w:rPr>
      </w:pPr>
      <w:r>
        <w:rPr>
          <w:szCs w:val="21"/>
        </w:rPr>
        <w:t>分母项：黄磷产量。包括黄磷产品产量和泥磷回收折元素磷两部分。即粗磷精制、过滤所得的，以及泥磷通过真空过滤或蒸磷等方法得到的符合国家标准</w:t>
      </w:r>
      <w:r>
        <w:rPr>
          <w:rFonts w:hint="eastAsia" w:ascii="宋体" w:hAnsi="宋体" w:cs="宋体"/>
          <w:szCs w:val="21"/>
        </w:rPr>
        <w:t>GB7816—1998</w:t>
      </w:r>
      <w:r>
        <w:rPr>
          <w:szCs w:val="21"/>
        </w:rPr>
        <w:t>的黄磷产品；泥磷回收折磷，指泥磷通过烧制磷酸或制其他化学品回收的元素磷量。</w:t>
      </w:r>
    </w:p>
    <w:p>
      <w:pPr>
        <w:spacing w:line="360" w:lineRule="exact"/>
        <w:ind w:firstLine="420" w:firstLineChars="200"/>
        <w:rPr>
          <w:rFonts w:eastAsia="黑体"/>
          <w:szCs w:val="21"/>
        </w:rPr>
      </w:pPr>
      <w:r>
        <w:rPr>
          <w:rFonts w:eastAsia="黑体"/>
          <w:szCs w:val="21"/>
        </w:rPr>
        <w:t xml:space="preserve">单位黄磷生产耗电 </w:t>
      </w:r>
    </w:p>
    <w:p>
      <w:pPr>
        <w:spacing w:line="360" w:lineRule="exact"/>
        <w:ind w:left="1463" w:leftChars="206" w:hanging="1030" w:hangingChars="500"/>
        <w:rPr>
          <w:spacing w:val="-2"/>
          <w:szCs w:val="21"/>
        </w:rPr>
      </w:pPr>
      <w:r>
        <w:rPr>
          <w:spacing w:val="-2"/>
          <w:szCs w:val="21"/>
        </w:rPr>
        <w:t>计算公式：单位黄磷生产耗电（千瓦时</w:t>
      </w:r>
      <w:r>
        <w:rPr>
          <w:rFonts w:hint="eastAsia" w:ascii="宋体" w:hAnsi="宋体" w:cs="宋体"/>
          <w:spacing w:val="-2"/>
          <w:szCs w:val="21"/>
        </w:rPr>
        <w:t>/</w:t>
      </w:r>
      <w:r>
        <w:rPr>
          <w:spacing w:val="-2"/>
          <w:szCs w:val="21"/>
        </w:rPr>
        <w:t>吨）＝</w:t>
      </w:r>
      <w:r>
        <w:rPr>
          <w:rFonts w:hint="eastAsia" w:ascii="宋体" w:hAnsi="宋体" w:cs="宋体"/>
          <w:spacing w:val="-2"/>
          <w:szCs w:val="21"/>
        </w:rPr>
        <w:t>10000×</w:t>
      </w:r>
      <w:r>
        <w:rPr>
          <w:spacing w:val="-2"/>
          <w:szCs w:val="21"/>
        </w:rPr>
        <w:t>黄磷生产耗电总量（万千瓦时）／黄磷产量（吨）</w:t>
      </w:r>
    </w:p>
    <w:p>
      <w:pPr>
        <w:spacing w:line="360" w:lineRule="exact"/>
        <w:ind w:firstLine="420" w:firstLineChars="200"/>
        <w:rPr>
          <w:szCs w:val="21"/>
        </w:rPr>
      </w:pPr>
      <w:r>
        <w:rPr>
          <w:szCs w:val="21"/>
        </w:rPr>
        <w:t>分子项：黄磷产品耗电。包括电炉电耗和动力电耗两部分。</w:t>
      </w:r>
    </w:p>
    <w:p>
      <w:pPr>
        <w:spacing w:line="360" w:lineRule="exact"/>
        <w:ind w:firstLine="357" w:firstLineChars="170"/>
        <w:rPr>
          <w:rFonts w:ascii="宋体" w:hAnsi="宋体" w:cs="宋体"/>
          <w:szCs w:val="21"/>
        </w:rPr>
      </w:pPr>
      <w:r>
        <w:rPr>
          <w:rFonts w:hint="eastAsia" w:ascii="宋体" w:hAnsi="宋体" w:cs="宋体"/>
          <w:szCs w:val="21"/>
        </w:rPr>
        <w:t>（1）电炉电耗包括电炉加热的直接用电、电炉短网电耗、电炉变压器损耗、电炉变压器高压线路损耗以及供电线路损耗所分摊给电炉变压器的电耗；不包括电炉及其附属设备和建筑物所消耗的动力和照明用电。</w:t>
      </w:r>
    </w:p>
    <w:p>
      <w:pPr>
        <w:spacing w:line="360" w:lineRule="exact"/>
        <w:ind w:firstLine="357" w:firstLineChars="170"/>
        <w:rPr>
          <w:rFonts w:ascii="宋体" w:hAnsi="宋体" w:cs="宋体"/>
          <w:szCs w:val="21"/>
        </w:rPr>
      </w:pPr>
      <w:r>
        <w:rPr>
          <w:rFonts w:hint="eastAsia" w:ascii="宋体" w:hAnsi="宋体" w:cs="宋体"/>
          <w:szCs w:val="21"/>
        </w:rPr>
        <w:t>（2）动力电耗包括生产系统、辅助生产系统和附属生产系统所分摊的动力和照明用电。</w:t>
      </w:r>
    </w:p>
    <w:p>
      <w:pPr>
        <w:spacing w:line="360" w:lineRule="exact"/>
        <w:ind w:firstLine="420" w:firstLineChars="200"/>
        <w:rPr>
          <w:szCs w:val="21"/>
        </w:rPr>
      </w:pPr>
      <w:r>
        <w:rPr>
          <w:rFonts w:hint="eastAsia" w:ascii="宋体" w:hAnsi="宋体" w:cs="宋体"/>
          <w:szCs w:val="21"/>
        </w:rPr>
        <w:t>①生</w:t>
      </w:r>
      <w:r>
        <w:rPr>
          <w:szCs w:val="21"/>
        </w:rPr>
        <w:t>产系统所消耗的动力和照明用电，包括生产系统所有装置、设施所消耗的动力、照明用电及其供电损耗，以及所分摊的动力变压器和供电线路损耗。</w:t>
      </w:r>
    </w:p>
    <w:p>
      <w:pPr>
        <w:spacing w:line="360" w:lineRule="exact"/>
        <w:ind w:firstLine="420" w:firstLineChars="200"/>
        <w:rPr>
          <w:szCs w:val="21"/>
        </w:rPr>
      </w:pPr>
      <w:r>
        <w:rPr>
          <w:rFonts w:hint="eastAsia" w:ascii="宋体" w:hAnsi="宋体" w:cs="宋体"/>
          <w:szCs w:val="21"/>
        </w:rPr>
        <w:t>②辅</w:t>
      </w:r>
      <w:r>
        <w:rPr>
          <w:szCs w:val="21"/>
        </w:rPr>
        <w:t>助生产系统和附属生产系统所分摊的动力和照明用电量，指这两个系统按比例分摊给黄磷产品的动力和照明电耗以及它们的损耗。</w:t>
      </w:r>
    </w:p>
    <w:p>
      <w:pPr>
        <w:spacing w:line="360" w:lineRule="exact"/>
        <w:ind w:firstLine="420" w:firstLineChars="200"/>
        <w:rPr>
          <w:szCs w:val="21"/>
        </w:rPr>
      </w:pPr>
      <w:r>
        <w:rPr>
          <w:szCs w:val="21"/>
        </w:rPr>
        <w:t>分母项：黄磷产量。说明同上。</w:t>
      </w:r>
    </w:p>
    <w:p>
      <w:pPr>
        <w:pStyle w:val="10"/>
        <w:spacing w:line="360" w:lineRule="exact"/>
        <w:ind w:firstLine="420" w:firstLineChars="200"/>
        <w:rPr>
          <w:rFonts w:ascii="Times New Roman" w:hAnsi="Times New Roman" w:eastAsia="黑体" w:cs="Times New Roman"/>
          <w:bCs/>
        </w:rPr>
      </w:pPr>
    </w:p>
    <w:p>
      <w:pPr>
        <w:pStyle w:val="10"/>
        <w:spacing w:line="360" w:lineRule="exact"/>
        <w:ind w:firstLine="420" w:firstLineChars="200"/>
        <w:rPr>
          <w:rFonts w:ascii="Times New Roman" w:hAnsi="Times New Roman" w:eastAsia="黑体" w:cs="Times New Roman"/>
          <w:bCs/>
        </w:rPr>
      </w:pPr>
      <w:r>
        <w:rPr>
          <w:rFonts w:ascii="Times New Roman" w:hAnsi="Times New Roman" w:eastAsia="黑体" w:cs="Times New Roman"/>
          <w:bCs/>
        </w:rPr>
        <w:t>有机化学原料（26）</w:t>
      </w:r>
    </w:p>
    <w:p>
      <w:pPr>
        <w:spacing w:line="360" w:lineRule="exact"/>
        <w:ind w:firstLine="420" w:firstLineChars="200"/>
        <w:rPr>
          <w:szCs w:val="21"/>
        </w:rPr>
      </w:pPr>
      <w:r>
        <w:rPr>
          <w:rFonts w:eastAsia="黑体"/>
          <w:szCs w:val="21"/>
        </w:rPr>
        <w:t>单位乙烯生产综合能耗</w:t>
      </w:r>
      <w:r>
        <w:rPr>
          <w:szCs w:val="21"/>
        </w:rPr>
        <w:t xml:space="preserve">  </w:t>
      </w:r>
    </w:p>
    <w:p>
      <w:pPr>
        <w:spacing w:line="360" w:lineRule="exact"/>
        <w:ind w:left="5667" w:leftChars="212" w:hanging="5222" w:hangingChars="2487"/>
        <w:rPr>
          <w:rFonts w:ascii="宋体" w:hAnsi="宋体" w:cs="宋体"/>
          <w:szCs w:val="21"/>
        </w:rPr>
      </w:pPr>
      <w:r>
        <w:rPr>
          <w:szCs w:val="21"/>
        </w:rPr>
        <w:t>计算公式：单位乙烯生产综合能耗（千克标准煤/吨）＝</w:t>
      </w:r>
      <w:r>
        <w:rPr>
          <w:rFonts w:hint="eastAsia" w:ascii="宋体" w:hAnsi="宋体" w:cs="宋体"/>
          <w:szCs w:val="21"/>
        </w:rPr>
        <w:t>1000×乙烯燃动综合能源消耗量（吨标准煤）/乙烯产量（吨）</w:t>
      </w:r>
    </w:p>
    <w:p>
      <w:pPr>
        <w:spacing w:line="360" w:lineRule="exact"/>
        <w:ind w:firstLine="420" w:firstLineChars="200"/>
        <w:rPr>
          <w:szCs w:val="21"/>
        </w:rPr>
      </w:pPr>
      <w:r>
        <w:rPr>
          <w:szCs w:val="21"/>
        </w:rPr>
        <w:t>分子项：乙烯燃动综合能源消耗量。包括燃料油、燃料气、蒸汽、电力等的消耗，不包括作为生产乙烯的原料消耗（注：在填报</w:t>
      </w:r>
      <w:r>
        <w:rPr>
          <w:bCs/>
          <w:szCs w:val="21"/>
        </w:rPr>
        <w:t>《能源购进、消费与库存》</w:t>
      </w:r>
      <w:r>
        <w:rPr>
          <w:rFonts w:hint="eastAsia"/>
          <w:bCs/>
          <w:szCs w:val="21"/>
        </w:rPr>
        <w:t>和《能源加工转换与</w:t>
      </w:r>
      <w:r>
        <w:rPr>
          <w:bCs/>
          <w:szCs w:val="21"/>
        </w:rPr>
        <w:t>回收利用</w:t>
      </w:r>
      <w:r>
        <w:rPr>
          <w:rFonts w:hint="eastAsia"/>
          <w:bCs/>
          <w:szCs w:val="21"/>
        </w:rPr>
        <w:t>》</w:t>
      </w:r>
      <w:r>
        <w:rPr>
          <w:szCs w:val="21"/>
        </w:rPr>
        <w:t>时，要计算能源消费量）。计算能耗的乙烯装置界区仅指乙烯工艺装置本身，包括原料脱硫、脱砷、裂解炉区、急冷区、压缩区、分离区、废碱处理、火炬气回收压缩机（回收气返回裂解炉燃料系统）工艺单元。</w:t>
      </w:r>
    </w:p>
    <w:p>
      <w:pPr>
        <w:spacing w:line="360" w:lineRule="exact"/>
        <w:ind w:firstLine="420" w:firstLineChars="200"/>
        <w:rPr>
          <w:szCs w:val="21"/>
        </w:rPr>
      </w:pPr>
      <w:r>
        <w:rPr>
          <w:szCs w:val="21"/>
        </w:rPr>
        <w:t>乙烯生产装置界区不包括：开工锅炉、锅炉给水、循环水、空压站等辅助生产设施。这些辅助设施用能不计入乙烯燃动综合能源消耗量。</w:t>
      </w:r>
    </w:p>
    <w:p>
      <w:pPr>
        <w:spacing w:line="360" w:lineRule="exact"/>
        <w:ind w:firstLine="420" w:firstLineChars="200"/>
        <w:rPr>
          <w:szCs w:val="21"/>
        </w:rPr>
      </w:pPr>
      <w:r>
        <w:rPr>
          <w:szCs w:val="21"/>
        </w:rPr>
        <w:t>分母项：乙烯生产量。指乙烯生产量，不包括丙烯等联产品。乙烯是指用油（轻油、柴油、重油、石脑油、原油）、气（乙烷、丙烷炼厂气）经裂解、分离过程制成的乙烯；不包括用酒精脱水制成的乙烯，亦不包括直接利用未经分离的裂解气体或其他气体中的乙烯馏分。各种未用尽的乙烯，返回乙烯生产装置时，不得再计算乙烯产量。</w:t>
      </w:r>
    </w:p>
    <w:p>
      <w:pPr>
        <w:spacing w:line="360" w:lineRule="exact"/>
        <w:ind w:firstLine="420" w:firstLineChars="200"/>
        <w:rPr>
          <w:rFonts w:eastAsia="黑体"/>
          <w:szCs w:val="21"/>
        </w:rPr>
      </w:pPr>
      <w:r>
        <w:rPr>
          <w:rFonts w:eastAsia="黑体"/>
          <w:szCs w:val="21"/>
        </w:rPr>
        <w:t xml:space="preserve">单位乙烯生产耗电  </w:t>
      </w:r>
    </w:p>
    <w:p>
      <w:pPr>
        <w:spacing w:line="360" w:lineRule="exact"/>
        <w:ind w:left="1455" w:leftChars="193" w:hanging="1050" w:hangingChars="520"/>
        <w:rPr>
          <w:spacing w:val="-4"/>
          <w:szCs w:val="21"/>
        </w:rPr>
      </w:pPr>
      <w:r>
        <w:rPr>
          <w:spacing w:val="-4"/>
          <w:szCs w:val="21"/>
        </w:rPr>
        <w:t>计算公式：单位乙烯生产耗电（千瓦时/吨）＝</w:t>
      </w:r>
      <w:r>
        <w:rPr>
          <w:rFonts w:hint="eastAsia" w:ascii="宋体" w:hAnsi="宋体" w:cs="宋体"/>
          <w:spacing w:val="-4"/>
          <w:szCs w:val="21"/>
        </w:rPr>
        <w:t>10000×</w:t>
      </w:r>
      <w:r>
        <w:rPr>
          <w:spacing w:val="-4"/>
          <w:szCs w:val="21"/>
        </w:rPr>
        <w:t>乙烯生产耗电总量（万千瓦时）／乙烯生产量（吨）</w:t>
      </w:r>
    </w:p>
    <w:p>
      <w:pPr>
        <w:spacing w:line="360" w:lineRule="exact"/>
        <w:ind w:firstLine="420" w:firstLineChars="200"/>
        <w:rPr>
          <w:szCs w:val="21"/>
        </w:rPr>
      </w:pPr>
      <w:r>
        <w:rPr>
          <w:szCs w:val="21"/>
        </w:rPr>
        <w:t xml:space="preserve">分子项：乙烯生产耗电量。指乙烯装置界区内的耗电量。  </w:t>
      </w:r>
    </w:p>
    <w:p>
      <w:pPr>
        <w:spacing w:line="360" w:lineRule="exact"/>
        <w:ind w:firstLine="420" w:firstLineChars="200"/>
      </w:pPr>
      <w:r>
        <w:rPr>
          <w:szCs w:val="21"/>
        </w:rPr>
        <w:t>分母项：乙烯生产量。说明同上。</w:t>
      </w:r>
    </w:p>
    <w:p>
      <w:pPr>
        <w:spacing w:line="360" w:lineRule="exact"/>
        <w:ind w:firstLine="420" w:firstLineChars="200"/>
        <w:rPr>
          <w:rFonts w:eastAsia="黑体"/>
          <w:bCs/>
          <w:szCs w:val="21"/>
        </w:rPr>
      </w:pPr>
      <w:r>
        <w:rPr>
          <w:rFonts w:eastAsia="黑体"/>
          <w:bCs/>
          <w:szCs w:val="21"/>
        </w:rPr>
        <w:t>氮肥（26）</w:t>
      </w:r>
    </w:p>
    <w:p>
      <w:pPr>
        <w:spacing w:line="360" w:lineRule="exact"/>
        <w:ind w:firstLine="420" w:firstLineChars="200"/>
        <w:rPr>
          <w:szCs w:val="21"/>
        </w:rPr>
      </w:pPr>
      <w:r>
        <w:rPr>
          <w:rFonts w:eastAsia="黑体"/>
          <w:szCs w:val="21"/>
        </w:rPr>
        <w:t>单位合成氨生产综合能耗</w:t>
      </w:r>
      <w:r>
        <w:rPr>
          <w:szCs w:val="21"/>
        </w:rPr>
        <w:t xml:space="preserve">  </w:t>
      </w:r>
    </w:p>
    <w:p>
      <w:pPr>
        <w:spacing w:line="360" w:lineRule="exact"/>
        <w:ind w:left="5772" w:leftChars="192" w:hanging="5369" w:hangingChars="2557"/>
        <w:rPr>
          <w:szCs w:val="21"/>
        </w:rPr>
      </w:pPr>
      <w:r>
        <w:rPr>
          <w:szCs w:val="21"/>
        </w:rPr>
        <w:t>计算公式：单位合成氨生产综合能耗（千克标准煤/吨）＝</w:t>
      </w:r>
      <w:r>
        <w:rPr>
          <w:rFonts w:hint="eastAsia" w:ascii="宋体" w:hAnsi="宋体" w:cs="宋体"/>
          <w:szCs w:val="21"/>
        </w:rPr>
        <w:t>1000×合</w:t>
      </w:r>
      <w:r>
        <w:rPr>
          <w:szCs w:val="21"/>
        </w:rPr>
        <w:t>成氨生产综合能耗（吨标准煤）</w:t>
      </w:r>
      <w:r>
        <w:rPr>
          <w:rFonts w:hint="eastAsia" w:ascii="宋体" w:hAnsi="宋体" w:cs="宋体"/>
          <w:szCs w:val="21"/>
        </w:rPr>
        <w:t>/</w:t>
      </w:r>
      <w:r>
        <w:rPr>
          <w:szCs w:val="21"/>
        </w:rPr>
        <w:t>合成氨（无水氨）产量（吨）</w:t>
      </w:r>
    </w:p>
    <w:p>
      <w:pPr>
        <w:spacing w:line="360" w:lineRule="exact"/>
        <w:ind w:firstLine="420" w:firstLineChars="200"/>
        <w:rPr>
          <w:szCs w:val="21"/>
        </w:rPr>
      </w:pPr>
      <w:r>
        <w:rPr>
          <w:szCs w:val="21"/>
        </w:rPr>
        <w:t>分子项：合成氨生产综合能耗。指合成氨生产实际的能源消耗或称为生产所必需的能源消耗。包括原料加工到液氨进氨库整个生产系统的消耗以及辅助和附属生产系统的消耗。</w:t>
      </w:r>
    </w:p>
    <w:p>
      <w:pPr>
        <w:spacing w:line="360" w:lineRule="exact"/>
        <w:ind w:left="2520" w:leftChars="200" w:hanging="2100" w:hangingChars="1000"/>
        <w:rPr>
          <w:szCs w:val="21"/>
        </w:rPr>
      </w:pPr>
      <w:r>
        <w:rPr>
          <w:szCs w:val="21"/>
        </w:rPr>
        <w:t>合成氨生产综合能耗＝合成氨消耗的各种能源（标准煤）之和－合成氨输出的各种能源（标准煤）之和。</w:t>
      </w:r>
    </w:p>
    <w:p>
      <w:pPr>
        <w:spacing w:line="360" w:lineRule="exact"/>
        <w:ind w:firstLine="420" w:firstLineChars="200"/>
        <w:rPr>
          <w:szCs w:val="21"/>
        </w:rPr>
      </w:pPr>
      <w:r>
        <w:rPr>
          <w:szCs w:val="21"/>
        </w:rPr>
        <w:t>合成氨输出能源：指合成氨系统向界外输出的，供其他产品或装置使用的能源。对于合成氨系统中的废气、废液、废渣等未回收使用的、无计量的、没有实测热值以及不作为能源再次利用的（如直接用于修路、盖房等），均不得计入输出能源。输出的耗能工质不能计入合成氨输出能源。合成氨输出能源有以下形式：</w:t>
      </w:r>
    </w:p>
    <w:p>
      <w:pPr>
        <w:spacing w:line="360" w:lineRule="exact"/>
        <w:ind w:firstLine="420" w:firstLineChars="200"/>
        <w:rPr>
          <w:rFonts w:ascii="宋体" w:hAnsi="宋体" w:cs="宋体"/>
          <w:szCs w:val="21"/>
        </w:rPr>
      </w:pPr>
      <w:r>
        <w:rPr>
          <w:rFonts w:hint="eastAsia" w:ascii="宋体" w:hAnsi="宋体" w:cs="宋体"/>
          <w:szCs w:val="21"/>
        </w:rPr>
        <w:t>（1）作为能源（原料、燃料）供其他产品或装置使用的合成氨吹出气、弛放气、解析气（包括作为民用燃料气）。按实测燃料气组成成分计算热值。</w:t>
      </w:r>
    </w:p>
    <w:p>
      <w:pPr>
        <w:spacing w:line="360" w:lineRule="exact"/>
        <w:ind w:firstLine="420" w:firstLineChars="200"/>
        <w:rPr>
          <w:rFonts w:ascii="宋体" w:hAnsi="宋体" w:cs="宋体"/>
          <w:szCs w:val="21"/>
        </w:rPr>
      </w:pPr>
      <w:r>
        <w:rPr>
          <w:rFonts w:hint="eastAsia" w:ascii="宋体" w:hAnsi="宋体" w:cs="宋体"/>
          <w:szCs w:val="21"/>
        </w:rPr>
        <w:t>（2）作为能源供其他产品或装置使用的合成氨系统输出的物料（造气排出的炉渣、干灰、湿灰和锅炉排出的炉渣等，制成蜂窝煤，煤球，烧制砖瓦，作热电厂燃料等）。按实测低位发热值折标系数计入输出能源。</w:t>
      </w:r>
    </w:p>
    <w:p>
      <w:pPr>
        <w:spacing w:line="360" w:lineRule="exact"/>
        <w:ind w:firstLine="420" w:firstLineChars="200"/>
        <w:rPr>
          <w:szCs w:val="21"/>
        </w:rPr>
      </w:pPr>
      <w:r>
        <w:rPr>
          <w:rFonts w:hint="eastAsia" w:ascii="宋体" w:hAnsi="宋体" w:cs="宋体"/>
          <w:szCs w:val="21"/>
        </w:rPr>
        <w:t>（3）</w:t>
      </w:r>
      <w:r>
        <w:rPr>
          <w:szCs w:val="21"/>
        </w:rPr>
        <w:t>自备电厂利用合成氨系统余热（含自产的炉渣、废气、热水）、余压，发电、产汽（不掺烧其他外购燃料），向企业以外供应的蒸汽和电力。</w:t>
      </w:r>
    </w:p>
    <w:p>
      <w:pPr>
        <w:spacing w:line="360" w:lineRule="exact"/>
        <w:ind w:firstLine="420" w:firstLineChars="200"/>
        <w:rPr>
          <w:szCs w:val="21"/>
        </w:rPr>
      </w:pPr>
      <w:r>
        <w:rPr>
          <w:szCs w:val="21"/>
        </w:rPr>
        <w:t>外供蒸汽折标准量（标准煤）方法同外购蒸汽。</w:t>
      </w:r>
    </w:p>
    <w:p>
      <w:pPr>
        <w:spacing w:line="360" w:lineRule="exact"/>
        <w:ind w:firstLine="420" w:firstLineChars="200"/>
        <w:rPr>
          <w:szCs w:val="21"/>
        </w:rPr>
      </w:pPr>
      <w:r>
        <w:rPr>
          <w:szCs w:val="21"/>
        </w:rPr>
        <w:t>全余热自发电量（标准煤）＝ 供电量（千瓦时）</w:t>
      </w:r>
      <w:r>
        <w:rPr>
          <w:rFonts w:hint="eastAsia" w:ascii="宋体" w:hAnsi="宋体" w:cs="宋体"/>
          <w:szCs w:val="21"/>
        </w:rPr>
        <w:t>×0.1229</w:t>
      </w:r>
      <w:r>
        <w:rPr>
          <w:szCs w:val="21"/>
        </w:rPr>
        <w:t>（千克标准煤</w:t>
      </w:r>
      <w:r>
        <w:rPr>
          <w:rFonts w:hint="eastAsia" w:ascii="宋体" w:hAnsi="宋体" w:cs="宋体"/>
          <w:szCs w:val="21"/>
        </w:rPr>
        <w:t>/</w:t>
      </w:r>
      <w:r>
        <w:rPr>
          <w:szCs w:val="21"/>
        </w:rPr>
        <w:t>千瓦时）。</w:t>
      </w:r>
    </w:p>
    <w:p>
      <w:pPr>
        <w:spacing w:line="360" w:lineRule="exact"/>
        <w:ind w:firstLine="420" w:firstLineChars="200"/>
        <w:rPr>
          <w:szCs w:val="21"/>
        </w:rPr>
      </w:pPr>
      <w:r>
        <w:rPr>
          <w:rFonts w:hint="eastAsia" w:ascii="宋体" w:hAnsi="宋体" w:cs="宋体"/>
          <w:szCs w:val="21"/>
        </w:rPr>
        <w:t>（4）</w:t>
      </w:r>
      <w:r>
        <w:rPr>
          <w:szCs w:val="21"/>
        </w:rPr>
        <w:t>供其他产品或装置预热物料（或生产用水）的合成氨生产中的余热。按回收热能量统计。回收热能量计算公式为：Q＝D×C×（T出－T入）；</w:t>
      </w:r>
    </w:p>
    <w:p>
      <w:pPr>
        <w:spacing w:line="360" w:lineRule="exact"/>
        <w:ind w:firstLine="420" w:firstLineChars="200"/>
        <w:rPr>
          <w:szCs w:val="21"/>
        </w:rPr>
      </w:pPr>
      <w:r>
        <w:rPr>
          <w:szCs w:val="21"/>
        </w:rPr>
        <w:t>式中字母符号：</w:t>
      </w:r>
    </w:p>
    <w:p>
      <w:pPr>
        <w:spacing w:line="360" w:lineRule="exact"/>
        <w:ind w:firstLine="420" w:firstLineChars="200"/>
        <w:rPr>
          <w:szCs w:val="21"/>
        </w:rPr>
      </w:pPr>
      <w:r>
        <w:rPr>
          <w:szCs w:val="21"/>
        </w:rPr>
        <w:t>D—被预热的物料量（千克）；</w:t>
      </w:r>
    </w:p>
    <w:p>
      <w:pPr>
        <w:spacing w:line="360" w:lineRule="exact"/>
        <w:ind w:firstLine="420" w:firstLineChars="200"/>
        <w:rPr>
          <w:szCs w:val="21"/>
        </w:rPr>
      </w:pPr>
      <w:r>
        <w:rPr>
          <w:szCs w:val="21"/>
        </w:rPr>
        <w:t>C—被预热物料的比热（千卡</w:t>
      </w:r>
      <w:r>
        <w:rPr>
          <w:rFonts w:hint="eastAsia" w:ascii="宋体" w:hAnsi="宋体" w:cs="宋体"/>
          <w:szCs w:val="21"/>
        </w:rPr>
        <w:t>/</w:t>
      </w:r>
      <w:r>
        <w:rPr>
          <w:szCs w:val="21"/>
        </w:rPr>
        <w:t xml:space="preserve">千克·度）； </w:t>
      </w:r>
    </w:p>
    <w:p>
      <w:pPr>
        <w:spacing w:line="360" w:lineRule="exact"/>
        <w:ind w:firstLine="420" w:firstLineChars="200"/>
        <w:rPr>
          <w:szCs w:val="21"/>
        </w:rPr>
      </w:pPr>
      <w:r>
        <w:rPr>
          <w:szCs w:val="21"/>
        </w:rPr>
        <w:t>T出、T入—被预热物料出、入合成氨系统的温度（℃）；</w:t>
      </w:r>
    </w:p>
    <w:p>
      <w:pPr>
        <w:spacing w:line="360" w:lineRule="exact"/>
        <w:ind w:firstLine="420" w:firstLineChars="200"/>
        <w:rPr>
          <w:szCs w:val="21"/>
        </w:rPr>
      </w:pPr>
      <w:r>
        <w:rPr>
          <w:rFonts w:hint="eastAsia" w:ascii="宋体" w:hAnsi="宋体" w:cs="宋体"/>
          <w:szCs w:val="21"/>
        </w:rPr>
        <w:t>（5）</w:t>
      </w:r>
      <w:r>
        <w:rPr>
          <w:szCs w:val="21"/>
        </w:rPr>
        <w:t>供其他产品或用户使用（包括用于生活目的）的合成氨系统外送冷凝液（热水）。作为输出能源按其利用热量从综合能耗中扣除（向外输送冷凝液或热水所耗用的电力也应扣除）。</w:t>
      </w:r>
    </w:p>
    <w:p>
      <w:pPr>
        <w:spacing w:line="360" w:lineRule="exact"/>
        <w:ind w:firstLine="420" w:firstLineChars="200"/>
        <w:rPr>
          <w:szCs w:val="21"/>
        </w:rPr>
      </w:pPr>
      <w:r>
        <w:rPr>
          <w:szCs w:val="21"/>
        </w:rPr>
        <w:t xml:space="preserve">计算公式：Q＝W ×（T出－T环）；式中字母符号：  </w:t>
      </w:r>
    </w:p>
    <w:p>
      <w:pPr>
        <w:spacing w:line="360" w:lineRule="exact"/>
        <w:ind w:firstLine="420" w:firstLineChars="200"/>
        <w:rPr>
          <w:szCs w:val="21"/>
        </w:rPr>
      </w:pPr>
      <w:r>
        <w:rPr>
          <w:szCs w:val="21"/>
        </w:rPr>
        <w:t>W—合成氨系统外送冷凝液（或热水）量；</w:t>
      </w:r>
    </w:p>
    <w:p>
      <w:pPr>
        <w:spacing w:line="360" w:lineRule="exact"/>
        <w:ind w:firstLine="420" w:firstLineChars="200"/>
        <w:rPr>
          <w:szCs w:val="21"/>
        </w:rPr>
      </w:pPr>
      <w:r>
        <w:rPr>
          <w:szCs w:val="21"/>
        </w:rPr>
        <w:t>T出—外送冷凝液（热水）温度（℃）；</w:t>
      </w:r>
    </w:p>
    <w:p>
      <w:pPr>
        <w:spacing w:line="360" w:lineRule="exact"/>
        <w:ind w:firstLine="420" w:firstLineChars="200"/>
        <w:rPr>
          <w:szCs w:val="21"/>
        </w:rPr>
      </w:pPr>
      <w:r>
        <w:rPr>
          <w:szCs w:val="21"/>
        </w:rPr>
        <w:t>T环—报告期平均环境温度（℃）。</w:t>
      </w:r>
    </w:p>
    <w:p>
      <w:pPr>
        <w:spacing w:line="360" w:lineRule="exact"/>
        <w:ind w:firstLine="420" w:firstLineChars="200"/>
        <w:rPr>
          <w:szCs w:val="21"/>
        </w:rPr>
      </w:pPr>
      <w:r>
        <w:rPr>
          <w:szCs w:val="21"/>
        </w:rPr>
        <w:t>分母项：合成氨（无水氨）产量。以液态氨为最终计量状态，按实物量计算，不折</w:t>
      </w:r>
      <w:r>
        <w:rPr>
          <w:rFonts w:hint="eastAsia" w:ascii="宋体" w:hAnsi="宋体" w:cs="宋体"/>
          <w:szCs w:val="21"/>
        </w:rPr>
        <w:t>100%</w:t>
      </w:r>
      <w:r>
        <w:rPr>
          <w:szCs w:val="21"/>
        </w:rPr>
        <w:t>的纯品。合成氨产量包括：厂内各用氨单位的使用量、销售的商品液氨量、合成氨生产过程中的自用量（净化与脱硫用）以及氨罐弛放气、合成放空气、中间槽解析气等气体回收的氨水含氨量（按回收产品含氨</w:t>
      </w:r>
      <w:r>
        <w:rPr>
          <w:rFonts w:hint="eastAsia" w:ascii="宋体" w:hAnsi="宋体" w:cs="宋体"/>
          <w:szCs w:val="21"/>
        </w:rPr>
        <w:t>100%</w:t>
      </w:r>
      <w:r>
        <w:rPr>
          <w:szCs w:val="21"/>
        </w:rPr>
        <w:t>折算）。</w:t>
      </w:r>
    </w:p>
    <w:p>
      <w:pPr>
        <w:spacing w:line="360" w:lineRule="exact"/>
        <w:ind w:firstLine="420" w:firstLineChars="200"/>
        <w:rPr>
          <w:szCs w:val="21"/>
        </w:rPr>
      </w:pPr>
      <w:r>
        <w:rPr>
          <w:szCs w:val="21"/>
        </w:rPr>
        <w:t>合成氨产量不包括：冰机自用氨量（损失）、净化和氨水脱硫回收的氨水含氨量、碳化清洗塔及回收塔析出的氨水含氨量。</w:t>
      </w:r>
    </w:p>
    <w:p>
      <w:pPr>
        <w:spacing w:line="360" w:lineRule="exact"/>
        <w:ind w:firstLine="420" w:firstLineChars="200"/>
        <w:rPr>
          <w:szCs w:val="21"/>
        </w:rPr>
      </w:pPr>
      <w:r>
        <w:rPr>
          <w:szCs w:val="21"/>
        </w:rPr>
        <w:t>合成氨产量采用仪表计量或以最终含氮产品计量。</w:t>
      </w:r>
    </w:p>
    <w:p>
      <w:pPr>
        <w:spacing w:line="360" w:lineRule="exact"/>
        <w:ind w:firstLine="420" w:firstLineChars="200"/>
        <w:rPr>
          <w:szCs w:val="21"/>
        </w:rPr>
      </w:pPr>
      <w:r>
        <w:rPr>
          <w:rFonts w:hint="eastAsia" w:ascii="宋体" w:hAnsi="宋体" w:cs="宋体"/>
          <w:szCs w:val="21"/>
        </w:rPr>
        <w:t>（1）</w:t>
      </w:r>
      <w:r>
        <w:rPr>
          <w:szCs w:val="21"/>
        </w:rPr>
        <w:t>仪表计量：</w:t>
      </w:r>
    </w:p>
    <w:p>
      <w:pPr>
        <w:spacing w:line="360" w:lineRule="exact"/>
        <w:ind w:firstLine="420" w:firstLineChars="200"/>
        <w:rPr>
          <w:szCs w:val="21"/>
        </w:rPr>
      </w:pPr>
      <w:r>
        <w:rPr>
          <w:szCs w:val="21"/>
        </w:rPr>
        <w:t>为保证液氨流量表准确计量，液氨必须经过中间槽减压解析液氨中溶解的气体，并要进行温度压力补偿。当企业既有氨产量总氨表，又有各用户的使用量分表时，总表必须与分表平衡，不得超过液氨流量表允许误差值。</w:t>
      </w:r>
    </w:p>
    <w:p>
      <w:pPr>
        <w:spacing w:line="360" w:lineRule="exact"/>
        <w:ind w:firstLine="420" w:firstLineChars="200"/>
        <w:rPr>
          <w:szCs w:val="21"/>
        </w:rPr>
      </w:pPr>
      <w:r>
        <w:rPr>
          <w:szCs w:val="21"/>
        </w:rPr>
        <w:t>合成氨产量（吨）＝氨表的表记值＋自用氨量＋商品液氨量＋吹出、解析、弛放气回收氨量＋（氨罐期末库存－氨罐期初库存）。</w:t>
      </w:r>
    </w:p>
    <w:p>
      <w:pPr>
        <w:spacing w:line="360" w:lineRule="exact"/>
        <w:ind w:firstLine="420" w:firstLineChars="200"/>
        <w:rPr>
          <w:szCs w:val="21"/>
        </w:rPr>
      </w:pPr>
      <w:r>
        <w:rPr>
          <w:szCs w:val="21"/>
        </w:rPr>
        <w:t>吹出、解析、弛放气回收氨量，指合成吹出气、中间槽解析气、氨罐弛放气回收到系统内加以利用或销售的氨量。</w:t>
      </w:r>
    </w:p>
    <w:p>
      <w:pPr>
        <w:spacing w:line="360" w:lineRule="exact"/>
        <w:ind w:firstLine="420" w:firstLineChars="200"/>
        <w:rPr>
          <w:szCs w:val="21"/>
        </w:rPr>
      </w:pPr>
      <w:r>
        <w:rPr>
          <w:rFonts w:hint="eastAsia" w:ascii="宋体" w:hAnsi="宋体" w:cs="宋体"/>
          <w:szCs w:val="21"/>
        </w:rPr>
        <w:t>（2）</w:t>
      </w:r>
      <w:r>
        <w:rPr>
          <w:szCs w:val="21"/>
        </w:rPr>
        <w:t>以最终含氮产品计量：</w:t>
      </w:r>
    </w:p>
    <w:p>
      <w:pPr>
        <w:spacing w:line="360" w:lineRule="exact"/>
        <w:ind w:firstLine="420" w:firstLineChars="200"/>
        <w:rPr>
          <w:szCs w:val="21"/>
        </w:rPr>
      </w:pPr>
      <w:r>
        <w:rPr>
          <w:szCs w:val="21"/>
        </w:rPr>
        <w:t>以最终含氮产品计算合成氨产量时，按含氮产品的实际含量折算氨产量。</w:t>
      </w:r>
    </w:p>
    <w:p>
      <w:pPr>
        <w:spacing w:line="360" w:lineRule="exact"/>
        <w:ind w:left="2310" w:leftChars="200" w:hanging="1890" w:hangingChars="900"/>
        <w:rPr>
          <w:szCs w:val="21"/>
        </w:rPr>
      </w:pPr>
      <w:r>
        <w:rPr>
          <w:szCs w:val="21"/>
        </w:rPr>
        <w:t>合成氨产量（吨）＝（合格固体化肥折</w:t>
      </w:r>
      <w:r>
        <w:rPr>
          <w:rFonts w:hint="eastAsia" w:ascii="宋体" w:hAnsi="宋体" w:cs="宋体"/>
          <w:szCs w:val="21"/>
        </w:rPr>
        <w:t>氮100%+不合格固体化肥折氮100%）×1.26654（吨）＋（合格氨水折氨100%+不合格氨水折氨100%）×1.04167（吨）＋ 自用氨量（吨）＋商品液氨量（吨）＋[氨罐期末库存（吨）－氨罐期初库存（吨）]</w:t>
      </w:r>
    </w:p>
    <w:p>
      <w:pPr>
        <w:spacing w:line="360" w:lineRule="exact"/>
        <w:ind w:firstLine="420" w:firstLineChars="200"/>
        <w:rPr>
          <w:szCs w:val="21"/>
        </w:rPr>
      </w:pPr>
      <w:r>
        <w:rPr>
          <w:szCs w:val="21"/>
        </w:rPr>
        <w:t xml:space="preserve">式中： </w:t>
      </w:r>
    </w:p>
    <w:p>
      <w:pPr>
        <w:spacing w:line="360" w:lineRule="exact"/>
        <w:ind w:firstLine="420" w:firstLineChars="200"/>
        <w:rPr>
          <w:rFonts w:ascii="宋体" w:hAnsi="宋体" w:cs="宋体"/>
          <w:szCs w:val="21"/>
        </w:rPr>
      </w:pPr>
      <w:r>
        <w:rPr>
          <w:rFonts w:hint="eastAsia" w:ascii="宋体" w:hAnsi="宋体" w:cs="宋体"/>
          <w:szCs w:val="21"/>
        </w:rPr>
        <w:t>1.26654＝1÷（0.82245×96%）</w:t>
      </w:r>
    </w:p>
    <w:p>
      <w:pPr>
        <w:spacing w:line="360" w:lineRule="exact"/>
        <w:ind w:firstLine="420" w:firstLineChars="200"/>
        <w:rPr>
          <w:rFonts w:ascii="宋体" w:hAnsi="宋体" w:cs="宋体"/>
          <w:szCs w:val="21"/>
        </w:rPr>
      </w:pPr>
      <w:r>
        <w:rPr>
          <w:rFonts w:hint="eastAsia" w:ascii="宋体" w:hAnsi="宋体" w:cs="宋体"/>
          <w:szCs w:val="21"/>
        </w:rPr>
        <w:t>1.04167＝1÷96%</w:t>
      </w:r>
    </w:p>
    <w:p>
      <w:pPr>
        <w:spacing w:line="360" w:lineRule="exact"/>
        <w:ind w:firstLine="420" w:firstLineChars="200"/>
        <w:rPr>
          <w:rFonts w:ascii="宋体" w:hAnsi="宋体" w:cs="宋体"/>
          <w:szCs w:val="21"/>
        </w:rPr>
      </w:pPr>
      <w:r>
        <w:rPr>
          <w:rFonts w:hint="eastAsia" w:ascii="宋体" w:hAnsi="宋体" w:cs="宋体"/>
          <w:szCs w:val="21"/>
        </w:rPr>
        <w:t>0.82245为氨理论含氮量；</w:t>
      </w:r>
    </w:p>
    <w:p>
      <w:pPr>
        <w:spacing w:line="360" w:lineRule="exact"/>
        <w:ind w:firstLine="420" w:firstLineChars="200"/>
        <w:rPr>
          <w:rFonts w:ascii="宋体" w:hAnsi="宋体" w:cs="宋体"/>
          <w:szCs w:val="21"/>
        </w:rPr>
      </w:pPr>
      <w:r>
        <w:rPr>
          <w:rFonts w:hint="eastAsia" w:ascii="宋体" w:hAnsi="宋体" w:cs="宋体"/>
          <w:szCs w:val="21"/>
        </w:rPr>
        <w:t>96％为固体化肥和氨水的氨利用率。</w:t>
      </w:r>
    </w:p>
    <w:p>
      <w:pPr>
        <w:spacing w:line="360" w:lineRule="exact"/>
        <w:ind w:firstLine="210" w:firstLineChars="100"/>
        <w:rPr>
          <w:rFonts w:ascii="宋体" w:hAnsi="宋体" w:cs="宋体"/>
          <w:szCs w:val="21"/>
        </w:rPr>
      </w:pPr>
      <w:r>
        <w:rPr>
          <w:rFonts w:hint="eastAsia" w:ascii="宋体" w:hAnsi="宋体" w:cs="宋体"/>
          <w:szCs w:val="21"/>
        </w:rPr>
        <w:t xml:space="preserve">  商品液氨量以装瓶或装车量为准。</w:t>
      </w:r>
    </w:p>
    <w:p>
      <w:pPr>
        <w:spacing w:line="360" w:lineRule="exact"/>
        <w:ind w:firstLine="420" w:firstLineChars="200"/>
        <w:rPr>
          <w:rFonts w:ascii="宋体" w:hAnsi="宋体" w:cs="宋体"/>
          <w:szCs w:val="21"/>
        </w:rPr>
      </w:pPr>
      <w:r>
        <w:rPr>
          <w:rFonts w:hint="eastAsia" w:ascii="宋体" w:hAnsi="宋体" w:cs="宋体"/>
          <w:szCs w:val="21"/>
        </w:rPr>
        <w:t>自用氨量：当合成氨生产过程用氨的各用户均有氨计量表时，自用氨量以表记值为准；当各用户无表计量时，其规定及计算公式如下：</w:t>
      </w:r>
    </w:p>
    <w:p>
      <w:pPr>
        <w:spacing w:line="360" w:lineRule="exact"/>
        <w:ind w:firstLine="420" w:firstLineChars="200"/>
        <w:rPr>
          <w:rFonts w:ascii="宋体" w:hAnsi="宋体" w:cs="宋体"/>
          <w:szCs w:val="21"/>
        </w:rPr>
      </w:pPr>
      <w:r>
        <w:rPr>
          <w:rFonts w:hint="eastAsia" w:ascii="宋体" w:hAnsi="宋体" w:cs="宋体"/>
          <w:szCs w:val="21"/>
        </w:rPr>
        <w:t>（1）铜洗法自用氨量为总氨量的0.4％；铜洗自用氨量（吨）＝ 合成氨产量×0.4％</w:t>
      </w:r>
    </w:p>
    <w:p>
      <w:pPr>
        <w:spacing w:line="360" w:lineRule="exact"/>
        <w:ind w:firstLine="420" w:firstLineChars="200"/>
        <w:rPr>
          <w:rFonts w:ascii="宋体" w:hAnsi="宋体" w:cs="宋体"/>
          <w:szCs w:val="21"/>
        </w:rPr>
      </w:pPr>
      <w:r>
        <w:rPr>
          <w:rFonts w:hint="eastAsia" w:ascii="宋体" w:hAnsi="宋体" w:cs="宋体"/>
          <w:szCs w:val="21"/>
        </w:rPr>
        <w:t>（2）铜洗后氨洗的自用氨量为总氨量的0.5％；氨洗自用氨量（吨）＝ 合成氨产量×0.5%</w:t>
      </w:r>
    </w:p>
    <w:p>
      <w:pPr>
        <w:spacing w:line="360" w:lineRule="exact"/>
        <w:ind w:firstLine="420" w:firstLineChars="200"/>
        <w:rPr>
          <w:rFonts w:ascii="宋体" w:hAnsi="宋体" w:cs="宋体"/>
          <w:szCs w:val="21"/>
        </w:rPr>
      </w:pPr>
      <w:r>
        <w:rPr>
          <w:rFonts w:hint="eastAsia" w:ascii="宋体" w:hAnsi="宋体" w:cs="宋体"/>
          <w:szCs w:val="21"/>
        </w:rPr>
        <w:t>（3）脱硫工艺自用氨为总氨量的1％；脱硫自用氨量（吨）＝ 合成氨产量×1％</w:t>
      </w:r>
    </w:p>
    <w:p>
      <w:pPr>
        <w:spacing w:line="360" w:lineRule="exact"/>
        <w:ind w:firstLine="420" w:firstLineChars="200"/>
        <w:rPr>
          <w:szCs w:val="21"/>
        </w:rPr>
      </w:pPr>
      <w:r>
        <w:rPr>
          <w:szCs w:val="21"/>
        </w:rPr>
        <w:t>上述三项自用氨有哪项就计算哪项，没有的均不得计算自用氨，同时也不得将其他形式的耗氨量计在自用氨中。</w:t>
      </w:r>
    </w:p>
    <w:p>
      <w:pPr>
        <w:spacing w:line="360" w:lineRule="exact"/>
        <w:ind w:firstLine="420" w:firstLineChars="200"/>
        <w:rPr>
          <w:szCs w:val="21"/>
        </w:rPr>
      </w:pPr>
      <w:r>
        <w:rPr>
          <w:szCs w:val="21"/>
        </w:rPr>
        <w:t>氨水折氨量包括：直接用合成吹出气、中间槽解析气、氨罐弛放气回收生产的合格和不合格农业氨水和工业氨水。氨水折氨量不包括： 净化（铜洗）、脱硫回收的氨水、碳化清洗塔及回收塔出来的氨水，也不包括净化（铜洗）和脱硫的自用氨水，及排放掉的合格或不合格的氨水。</w:t>
      </w:r>
    </w:p>
    <w:p>
      <w:pPr>
        <w:spacing w:line="360" w:lineRule="exact"/>
        <w:ind w:firstLine="420" w:firstLineChars="200"/>
        <w:rPr>
          <w:szCs w:val="21"/>
        </w:rPr>
      </w:pPr>
      <w:r>
        <w:rPr>
          <w:szCs w:val="21"/>
        </w:rPr>
        <w:t>用多种原料生产合成氨时，氨产量的确定：同时用天然气、煤等多种原料生产合成氨的企业，在填报合成氨总产量时，应按原料分列合成氨产量。确定各种不同原料生产的合成氨产量，应在总氨量中按各种原料产气量及其有效气体成分来划定，计算公式：</w:t>
      </w:r>
    </w:p>
    <w:p>
      <w:pPr>
        <w:spacing w:line="360" w:lineRule="exact"/>
        <w:ind w:left="3150" w:leftChars="200" w:hanging="2730" w:hangingChars="1300"/>
        <w:rPr>
          <w:rFonts w:ascii="宋体" w:hAnsi="宋体" w:cs="宋体"/>
          <w:szCs w:val="21"/>
        </w:rPr>
      </w:pPr>
      <w:r>
        <w:rPr>
          <w:szCs w:val="21"/>
        </w:rPr>
        <w:t>某种原料生产的合成氨产量＝合成氨总产量</w:t>
      </w:r>
      <w:r>
        <w:rPr>
          <w:rFonts w:hint="eastAsia" w:ascii="宋体" w:hAnsi="宋体" w:cs="宋体"/>
          <w:szCs w:val="21"/>
        </w:rPr>
        <w:t>×[（某种原料产气量×有效气体成分%）/∑各种原料产气量×有效气体成分%]</w:t>
      </w:r>
    </w:p>
    <w:p>
      <w:pPr>
        <w:spacing w:line="360" w:lineRule="exact"/>
        <w:ind w:firstLine="420" w:firstLineChars="200"/>
        <w:rPr>
          <w:rFonts w:eastAsia="黑体"/>
          <w:szCs w:val="21"/>
        </w:rPr>
      </w:pPr>
      <w:r>
        <w:rPr>
          <w:rFonts w:eastAsia="黑体"/>
          <w:szCs w:val="21"/>
        </w:rPr>
        <w:t xml:space="preserve">单位合成氨耗电 </w:t>
      </w:r>
    </w:p>
    <w:p>
      <w:pPr>
        <w:spacing w:line="360" w:lineRule="exact"/>
        <w:ind w:left="4548" w:leftChars="200" w:hanging="4128" w:hangingChars="1966"/>
        <w:rPr>
          <w:szCs w:val="21"/>
        </w:rPr>
      </w:pPr>
      <w:r>
        <w:rPr>
          <w:szCs w:val="21"/>
        </w:rPr>
        <w:t>计算公式：单位合成氨耗电（千瓦时</w:t>
      </w:r>
      <w:r>
        <w:rPr>
          <w:rFonts w:hint="eastAsia" w:ascii="宋体" w:hAnsi="宋体" w:cs="宋体"/>
          <w:szCs w:val="21"/>
        </w:rPr>
        <w:t>/</w:t>
      </w:r>
      <w:r>
        <w:rPr>
          <w:szCs w:val="21"/>
        </w:rPr>
        <w:t>吨）＝</w:t>
      </w:r>
      <w:r>
        <w:rPr>
          <w:rFonts w:hint="eastAsia" w:ascii="宋体" w:hAnsi="宋体" w:cs="宋体"/>
          <w:szCs w:val="21"/>
        </w:rPr>
        <w:t>10000×合成氨耗电总量（万千瓦时）/合成氨（无水氨）产量（吨）</w:t>
      </w:r>
    </w:p>
    <w:p>
      <w:pPr>
        <w:spacing w:line="360" w:lineRule="exact"/>
        <w:ind w:firstLine="420" w:firstLineChars="200"/>
        <w:rPr>
          <w:szCs w:val="21"/>
        </w:rPr>
      </w:pPr>
      <w:r>
        <w:rPr>
          <w:szCs w:val="21"/>
        </w:rPr>
        <w:t>分子项：合成氨耗电总量。指合成氨生产系统和辅助、附属生产系统消耗的电量及界区内损失的电量。以电表计量为准，计量单位为万千瓦时。</w:t>
      </w:r>
    </w:p>
    <w:p>
      <w:pPr>
        <w:spacing w:line="360" w:lineRule="exact"/>
        <w:ind w:firstLine="420" w:firstLineChars="200"/>
        <w:rPr>
          <w:szCs w:val="21"/>
        </w:rPr>
      </w:pPr>
      <w:r>
        <w:rPr>
          <w:szCs w:val="21"/>
        </w:rPr>
        <w:t>合成氨耗电总量应包括：</w:t>
      </w:r>
    </w:p>
    <w:p>
      <w:pPr>
        <w:spacing w:line="360" w:lineRule="exact"/>
        <w:ind w:firstLine="357" w:firstLineChars="170"/>
        <w:rPr>
          <w:rFonts w:ascii="宋体" w:hAnsi="宋体" w:cs="宋体"/>
          <w:szCs w:val="21"/>
        </w:rPr>
      </w:pPr>
      <w:r>
        <w:rPr>
          <w:rFonts w:hint="eastAsia" w:ascii="宋体" w:hAnsi="宋体" w:cs="宋体"/>
          <w:szCs w:val="21"/>
        </w:rPr>
        <w:t>（1）合成氨生产系统耗电。指从原料开始至液氨进氨库止所消耗的全部电量，包括：原料场、库运料（煤、焦、油、气）、预处理 [原料煤破碎（制煤粉、制水煤浆）、型煤（制煤球、煤棒）等]、造气、净化、压缩、氨合成、冰机[包括氨合成冷冻分离用电和制液氨用电（如为尿素等耗氨产品和商品液氨增开的冰机用电）]、氨库以及辅助锅炉各工序用电；上述各工序的车间照明、安全通风、采暖、空调、排风降温、车间办公室、分析化验和烘烤电机等用电；计划中修、小修和事故停修的作业用电（如起重、电焊）以及因检修（含大修）引起的开停车过程点火、烘炉、升温、热备用、置换等消耗的电量。大修作业用电按全年产量平均分摊。</w:t>
      </w:r>
    </w:p>
    <w:p>
      <w:pPr>
        <w:spacing w:line="360" w:lineRule="exact"/>
        <w:ind w:firstLine="357" w:firstLineChars="170"/>
        <w:rPr>
          <w:rFonts w:ascii="宋体" w:hAnsi="宋体" w:cs="宋体"/>
          <w:szCs w:val="21"/>
        </w:rPr>
      </w:pPr>
      <w:r>
        <w:rPr>
          <w:rFonts w:hint="eastAsia" w:ascii="宋体" w:hAnsi="宋体" w:cs="宋体"/>
          <w:szCs w:val="21"/>
        </w:rPr>
        <w:t>（2）合成氨辅助、附属生产系统消耗电量。包括：合成氨消耗的各种载能工质（如一次水、循环水、化学软水、除氧水、氧气、氮气、压缩空气等）的制备、提取、运输所消耗的实际电量；合成氨生产过程中三废处理的耗电量（硫磺回收、油回收、污水处理等）；自备锅炉耗电（如引风机、鼓风机、送水，冷却循环水泵等用电）；机、电、仪维修和金加工等工序耗电以及车间照明、通风、降温、车间办公室耗电（按其实际承担合成氨生产系统的维修和加工的工时合理分摊用电量）。</w:t>
      </w:r>
    </w:p>
    <w:p>
      <w:pPr>
        <w:spacing w:line="360" w:lineRule="exact"/>
        <w:ind w:firstLine="420" w:firstLineChars="200"/>
        <w:rPr>
          <w:rFonts w:ascii="宋体" w:hAnsi="宋体" w:cs="宋体"/>
          <w:szCs w:val="21"/>
        </w:rPr>
      </w:pPr>
      <w:r>
        <w:rPr>
          <w:rFonts w:hint="eastAsia" w:ascii="宋体" w:hAnsi="宋体" w:cs="宋体"/>
          <w:szCs w:val="21"/>
        </w:rPr>
        <w:t>合成氨耗电总量不包括：</w:t>
      </w:r>
    </w:p>
    <w:p>
      <w:pPr>
        <w:spacing w:line="360" w:lineRule="exact"/>
        <w:ind w:firstLine="357" w:firstLineChars="170"/>
        <w:rPr>
          <w:rFonts w:ascii="宋体" w:hAnsi="宋体" w:cs="宋体"/>
          <w:szCs w:val="21"/>
        </w:rPr>
      </w:pPr>
      <w:r>
        <w:rPr>
          <w:rFonts w:hint="eastAsia" w:ascii="宋体" w:hAnsi="宋体" w:cs="宋体"/>
          <w:szCs w:val="21"/>
        </w:rPr>
        <w:t>（1）联产产品耗电（联醇的粗甲醇耗电等）。</w:t>
      </w:r>
    </w:p>
    <w:p>
      <w:pPr>
        <w:spacing w:line="360" w:lineRule="exact"/>
        <w:ind w:firstLine="357" w:firstLineChars="170"/>
        <w:rPr>
          <w:rFonts w:ascii="宋体" w:hAnsi="宋体" w:cs="宋体"/>
          <w:szCs w:val="21"/>
        </w:rPr>
      </w:pPr>
      <w:r>
        <w:rPr>
          <w:rFonts w:hint="eastAsia" w:ascii="宋体" w:hAnsi="宋体" w:cs="宋体"/>
          <w:szCs w:val="21"/>
        </w:rPr>
        <w:t>（2）扩建和技改工程作业用电。</w:t>
      </w:r>
    </w:p>
    <w:p>
      <w:pPr>
        <w:spacing w:line="360" w:lineRule="exact"/>
        <w:ind w:firstLine="357" w:firstLineChars="170"/>
        <w:rPr>
          <w:rFonts w:ascii="宋体" w:hAnsi="宋体" w:cs="宋体"/>
          <w:szCs w:val="21"/>
        </w:rPr>
      </w:pPr>
      <w:r>
        <w:rPr>
          <w:rFonts w:hint="eastAsia" w:ascii="宋体" w:hAnsi="宋体" w:cs="宋体"/>
          <w:szCs w:val="21"/>
        </w:rPr>
        <w:t>（3）合成氨以外的产品消耗的耗能工质和蒸汽，应合理分摊其用电量。</w:t>
      </w:r>
    </w:p>
    <w:p>
      <w:pPr>
        <w:spacing w:line="360" w:lineRule="exact"/>
        <w:ind w:firstLine="420" w:firstLineChars="200"/>
        <w:rPr>
          <w:rFonts w:ascii="宋体" w:hAnsi="宋体" w:cs="宋体"/>
          <w:szCs w:val="21"/>
        </w:rPr>
      </w:pPr>
      <w:r>
        <w:rPr>
          <w:rFonts w:hint="eastAsia" w:ascii="宋体" w:hAnsi="宋体" w:cs="宋体"/>
          <w:szCs w:val="21"/>
        </w:rPr>
        <w:t>对于集中（数月或全年）扣除的（或计入）的用电量（如大修等），不能在当月集中扣除（或计入），应该按月均摊，并在当月累计数中调整，并以文字说明。</w:t>
      </w:r>
    </w:p>
    <w:p>
      <w:pPr>
        <w:spacing w:line="360" w:lineRule="exact"/>
        <w:ind w:firstLine="420" w:firstLineChars="200"/>
        <w:rPr>
          <w:rFonts w:ascii="宋体" w:hAnsi="宋体" w:cs="宋体"/>
          <w:szCs w:val="21"/>
        </w:rPr>
      </w:pPr>
      <w:r>
        <w:rPr>
          <w:rFonts w:hint="eastAsia" w:ascii="宋体" w:hAnsi="宋体" w:cs="宋体"/>
          <w:szCs w:val="21"/>
        </w:rPr>
        <w:t>合成氨联产企业耗电分摊规定：</w:t>
      </w:r>
    </w:p>
    <w:p>
      <w:pPr>
        <w:spacing w:line="360" w:lineRule="exact"/>
        <w:ind w:firstLine="357" w:firstLineChars="170"/>
        <w:rPr>
          <w:rFonts w:ascii="宋体" w:hAnsi="宋体" w:cs="宋体"/>
          <w:szCs w:val="21"/>
        </w:rPr>
      </w:pPr>
      <w:r>
        <w:rPr>
          <w:rFonts w:hint="eastAsia" w:ascii="宋体" w:hAnsi="宋体" w:cs="宋体"/>
          <w:szCs w:val="21"/>
        </w:rPr>
        <w:t>（1）合成氨联产甲醇企业，按单位合成氨耗电与单位粗甲醇（100%）耗电比按1:0.8分摊公共电耗量。</w:t>
      </w:r>
    </w:p>
    <w:p>
      <w:pPr>
        <w:spacing w:line="360" w:lineRule="exact"/>
        <w:ind w:firstLine="420" w:firstLineChars="200"/>
        <w:rPr>
          <w:rFonts w:ascii="宋体" w:hAnsi="宋体" w:cs="宋体"/>
          <w:szCs w:val="21"/>
        </w:rPr>
      </w:pPr>
      <w:r>
        <w:rPr>
          <w:rFonts w:hint="eastAsia" w:ascii="宋体" w:hAnsi="宋体" w:cs="宋体"/>
          <w:szCs w:val="21"/>
        </w:rPr>
        <w:t>合成氨耗电总量＝氨醇耗电总量×[合成氨产量/（0.8×粗甲醇（折100%）产量+合成氨产量）]</w:t>
      </w:r>
    </w:p>
    <w:p>
      <w:pPr>
        <w:spacing w:line="360" w:lineRule="exact"/>
        <w:ind w:firstLine="357" w:firstLineChars="170"/>
        <w:rPr>
          <w:rFonts w:ascii="宋体" w:hAnsi="宋体" w:cs="宋体"/>
          <w:szCs w:val="21"/>
        </w:rPr>
      </w:pPr>
      <w:r>
        <w:rPr>
          <w:rFonts w:hint="eastAsia" w:ascii="宋体" w:hAnsi="宋体" w:cs="宋体"/>
          <w:szCs w:val="21"/>
        </w:rPr>
        <w:t>（2）合成氨热电联产企业，合成氨的用电量不扣减全余热发电量（热电系统全部用合成氨余热、余压发电时，其发电量称为全余热发电量），其发电量计入合成氨输出能源，并用文字说明。热电系统全部或部分利用外购燃料煤发电时，热电系统独立核算，合成氨的用电量也不扣减自发电量，用于热电联产的合成氨余热、余压的热量，计入合成氨输出能源。</w:t>
      </w:r>
    </w:p>
    <w:p>
      <w:pPr>
        <w:spacing w:line="360" w:lineRule="exact"/>
        <w:ind w:firstLine="357" w:firstLineChars="170"/>
        <w:rPr>
          <w:rFonts w:ascii="宋体" w:hAnsi="宋体" w:cs="宋体"/>
          <w:szCs w:val="21"/>
        </w:rPr>
      </w:pPr>
      <w:r>
        <w:rPr>
          <w:rFonts w:hint="eastAsia" w:ascii="宋体" w:hAnsi="宋体" w:cs="宋体"/>
          <w:szCs w:val="21"/>
        </w:rPr>
        <w:t>（3）合成氨联产碳铵企业的碳铵工段（属合成氨的脱碳过程）耗电应全部计入合成氨耗电。</w:t>
      </w:r>
    </w:p>
    <w:p>
      <w:pPr>
        <w:spacing w:line="360" w:lineRule="exact"/>
        <w:ind w:firstLine="357" w:firstLineChars="170"/>
        <w:rPr>
          <w:rFonts w:ascii="宋体" w:hAnsi="宋体" w:cs="宋体"/>
          <w:szCs w:val="21"/>
        </w:rPr>
      </w:pPr>
      <w:r>
        <w:rPr>
          <w:rFonts w:hint="eastAsia" w:ascii="宋体" w:hAnsi="宋体" w:cs="宋体"/>
          <w:szCs w:val="21"/>
        </w:rPr>
        <w:t>（4）合成氨联产纯碱企业采用浓气制碱工艺时，与合成氨系统相对独立的，不存在电耗的分摊；变换气制碱工艺的重碱工段电耗应全部计入碱生产的电耗。</w:t>
      </w:r>
    </w:p>
    <w:p>
      <w:pPr>
        <w:spacing w:line="360" w:lineRule="exact"/>
        <w:ind w:firstLine="420" w:firstLineChars="200"/>
        <w:rPr>
          <w:rFonts w:ascii="宋体" w:hAnsi="宋体" w:cs="宋体"/>
          <w:szCs w:val="21"/>
        </w:rPr>
      </w:pPr>
      <w:r>
        <w:rPr>
          <w:rFonts w:hint="eastAsia" w:ascii="宋体" w:hAnsi="宋体" w:cs="宋体"/>
          <w:szCs w:val="21"/>
        </w:rPr>
        <w:t>分母项：合成氨（无水氨）产量。说明同上。</w:t>
      </w:r>
    </w:p>
    <w:p>
      <w:pPr>
        <w:spacing w:line="360" w:lineRule="exact"/>
        <w:ind w:firstLine="420" w:firstLineChars="200"/>
        <w:rPr>
          <w:rFonts w:eastAsia="黑体"/>
          <w:szCs w:val="21"/>
        </w:rPr>
      </w:pPr>
      <w:r>
        <w:rPr>
          <w:rFonts w:eastAsia="黑体"/>
          <w:szCs w:val="21"/>
        </w:rPr>
        <w:t xml:space="preserve">单位合成氨耗天然气 </w:t>
      </w:r>
    </w:p>
    <w:p>
      <w:pPr>
        <w:spacing w:line="360" w:lineRule="exact"/>
        <w:ind w:left="5565" w:leftChars="200" w:hanging="5145" w:hangingChars="2450"/>
        <w:rPr>
          <w:rFonts w:ascii="宋体" w:hAnsi="宋体" w:cs="宋体"/>
          <w:szCs w:val="21"/>
        </w:rPr>
      </w:pPr>
      <w:r>
        <w:rPr>
          <w:rFonts w:hint="eastAsia" w:ascii="宋体" w:hAnsi="宋体" w:cs="宋体"/>
          <w:szCs w:val="21"/>
        </w:rPr>
        <w:t>计算公式：单位合成氨消耗天然气（标准立方米/吨）＝10000×合成氨消耗天然气总量（万标准立方米）/合成氨（无水氨）产量（吨）</w:t>
      </w:r>
    </w:p>
    <w:p>
      <w:pPr>
        <w:spacing w:line="360" w:lineRule="exact"/>
        <w:ind w:firstLine="420" w:firstLineChars="200"/>
        <w:rPr>
          <w:rFonts w:ascii="宋体" w:hAnsi="宋体" w:cs="宋体"/>
          <w:szCs w:val="21"/>
        </w:rPr>
      </w:pPr>
      <w:r>
        <w:rPr>
          <w:rFonts w:hint="eastAsia" w:ascii="宋体" w:hAnsi="宋体" w:cs="宋体"/>
          <w:szCs w:val="21"/>
        </w:rPr>
        <w:t>分子项：合成氨耗天然气总量。包括制气用的天然气、加热转化炉管和辅助锅炉用天然气、合成氨正常生产及开工时蒸汽锅炉使用的天然气。</w:t>
      </w:r>
    </w:p>
    <w:p>
      <w:pPr>
        <w:spacing w:line="360" w:lineRule="exact"/>
        <w:ind w:firstLine="420" w:firstLineChars="200"/>
        <w:rPr>
          <w:rFonts w:ascii="宋体" w:hAnsi="宋体" w:cs="宋体"/>
          <w:szCs w:val="21"/>
        </w:rPr>
      </w:pPr>
      <w:r>
        <w:rPr>
          <w:rFonts w:hint="eastAsia" w:ascii="宋体" w:hAnsi="宋体" w:cs="宋体"/>
          <w:szCs w:val="21"/>
        </w:rPr>
        <w:t>使用油田气、焦炉气、炼厂气、煤田气等制氨，计算方法同上。</w:t>
      </w:r>
    </w:p>
    <w:p>
      <w:pPr>
        <w:spacing w:line="360" w:lineRule="exact"/>
        <w:ind w:firstLine="420" w:firstLineChars="200"/>
        <w:rPr>
          <w:rFonts w:ascii="宋体" w:hAnsi="宋体" w:cs="宋体"/>
          <w:szCs w:val="21"/>
        </w:rPr>
      </w:pPr>
      <w:r>
        <w:rPr>
          <w:rFonts w:hint="eastAsia" w:ascii="宋体" w:hAnsi="宋体" w:cs="宋体"/>
          <w:szCs w:val="21"/>
        </w:rPr>
        <w:t>分母项：合成氨（无水氨）产量。说明同上。</w:t>
      </w:r>
    </w:p>
    <w:p>
      <w:pPr>
        <w:spacing w:line="360" w:lineRule="exact"/>
        <w:ind w:firstLine="420" w:firstLineChars="200"/>
        <w:rPr>
          <w:rFonts w:eastAsia="黑体"/>
          <w:szCs w:val="21"/>
        </w:rPr>
      </w:pPr>
      <w:r>
        <w:rPr>
          <w:rFonts w:eastAsia="黑体"/>
          <w:szCs w:val="21"/>
        </w:rPr>
        <w:t>单位合成氨耗原料煤</w:t>
      </w:r>
    </w:p>
    <w:p>
      <w:pPr>
        <w:spacing w:line="360" w:lineRule="exact"/>
        <w:ind w:left="5355" w:leftChars="200" w:hanging="4935" w:hangingChars="2350"/>
        <w:rPr>
          <w:rFonts w:ascii="宋体" w:hAnsi="宋体" w:cs="宋体"/>
          <w:szCs w:val="21"/>
        </w:rPr>
      </w:pPr>
      <w:r>
        <w:rPr>
          <w:rFonts w:hint="eastAsia" w:ascii="宋体" w:hAnsi="宋体" w:cs="宋体"/>
          <w:szCs w:val="21"/>
        </w:rPr>
        <w:t>计算公式：单位合成氨耗原料煤（千克标准煤/吨）＝1000×合成氨原料煤耗（吨标准煤）/合成氨（无水氨）产量（吨）</w:t>
      </w:r>
    </w:p>
    <w:p>
      <w:pPr>
        <w:spacing w:line="360" w:lineRule="exact"/>
        <w:ind w:firstLine="420" w:firstLineChars="200"/>
        <w:rPr>
          <w:rFonts w:ascii="宋体" w:hAnsi="宋体" w:cs="宋体"/>
          <w:szCs w:val="21"/>
        </w:rPr>
      </w:pPr>
      <w:r>
        <w:rPr>
          <w:rFonts w:hint="eastAsia" w:ascii="宋体" w:hAnsi="宋体" w:cs="宋体"/>
          <w:szCs w:val="21"/>
        </w:rPr>
        <w:t>分子项：合成氨原料煤耗。指投入造气炉的实物煤或焦炭（标准煤），不包括入炉前筛出的粉煤（焦）、煤矸石。</w:t>
      </w:r>
    </w:p>
    <w:p>
      <w:pPr>
        <w:spacing w:line="360" w:lineRule="exact"/>
        <w:ind w:firstLine="420" w:firstLineChars="200"/>
        <w:rPr>
          <w:rFonts w:ascii="宋体" w:hAnsi="宋体" w:cs="宋体"/>
          <w:szCs w:val="21"/>
        </w:rPr>
      </w:pPr>
      <w:r>
        <w:rPr>
          <w:rFonts w:hint="eastAsia" w:ascii="宋体" w:hAnsi="宋体" w:cs="宋体"/>
          <w:szCs w:val="21"/>
        </w:rPr>
        <w:t>返炭（二炭）、返焦不再计入消耗，也不从消耗中扣除。回收合成氨生产过程中排放的气体（如造气吹风气、合成放空气、氨贮罐弛放气等）作燃料使用时，不能将其热量折成煤（焦）从消耗中扣除。</w:t>
      </w:r>
    </w:p>
    <w:p>
      <w:pPr>
        <w:spacing w:line="360" w:lineRule="exact"/>
        <w:ind w:firstLine="420" w:firstLineChars="200"/>
        <w:rPr>
          <w:rFonts w:ascii="宋体" w:hAnsi="宋体" w:cs="宋体"/>
          <w:szCs w:val="21"/>
        </w:rPr>
      </w:pPr>
      <w:r>
        <w:rPr>
          <w:rFonts w:hint="eastAsia" w:ascii="宋体" w:hAnsi="宋体" w:cs="宋体"/>
          <w:szCs w:val="21"/>
        </w:rPr>
        <w:t>有关消耗分摊的规定：</w:t>
      </w:r>
    </w:p>
    <w:p>
      <w:pPr>
        <w:spacing w:line="360" w:lineRule="exact"/>
        <w:ind w:right="-40" w:firstLine="283"/>
        <w:rPr>
          <w:rFonts w:ascii="宋体" w:hAnsi="宋体" w:cs="宋体"/>
          <w:spacing w:val="4"/>
          <w:szCs w:val="21"/>
        </w:rPr>
      </w:pPr>
      <w:r>
        <w:rPr>
          <w:rFonts w:hint="eastAsia" w:ascii="宋体" w:hAnsi="宋体" w:cs="宋体"/>
          <w:szCs w:val="21"/>
        </w:rPr>
        <w:t>（1）</w:t>
      </w:r>
      <w:r>
        <w:rPr>
          <w:rFonts w:hint="eastAsia" w:ascii="宋体" w:hAnsi="宋体" w:cs="宋体"/>
          <w:spacing w:val="4"/>
          <w:szCs w:val="21"/>
        </w:rPr>
        <w:t>合成氨联产甲醇的企业，氨与粗醇（100%）单位产品消耗原料的比，按1:1.06分摊共用的原料。</w:t>
      </w:r>
    </w:p>
    <w:p>
      <w:pPr>
        <w:spacing w:line="360" w:lineRule="exact"/>
        <w:ind w:left="3360" w:leftChars="200" w:hanging="2940" w:hangingChars="1400"/>
        <w:rPr>
          <w:rFonts w:ascii="宋体" w:hAnsi="宋体" w:cs="宋体"/>
          <w:szCs w:val="21"/>
        </w:rPr>
      </w:pPr>
      <w:r>
        <w:rPr>
          <w:rFonts w:hint="eastAsia" w:ascii="宋体" w:hAnsi="宋体" w:cs="宋体"/>
          <w:szCs w:val="21"/>
        </w:rPr>
        <w:t>合成氨耗入炉实物原料煤总量＝入炉实物原料煤总量×[合成氨产量/（1.06×粗甲醇（折100%）产量+合成氨产量）]</w:t>
      </w:r>
    </w:p>
    <w:p>
      <w:pPr>
        <w:spacing w:line="360" w:lineRule="exact"/>
        <w:ind w:firstLine="357" w:firstLineChars="170"/>
        <w:rPr>
          <w:rFonts w:ascii="宋体" w:hAnsi="宋体" w:cs="宋体"/>
          <w:szCs w:val="21"/>
        </w:rPr>
      </w:pPr>
      <w:r>
        <w:rPr>
          <w:rFonts w:hint="eastAsia" w:ascii="宋体" w:hAnsi="宋体" w:cs="宋体"/>
          <w:szCs w:val="21"/>
        </w:rPr>
        <w:t>（2）自合成氨系统输出的原料气用于其他产品的原料时，按用量折煤（焦）实物量，从系统耗原料煤（焦）实物消耗总量中扣除。</w:t>
      </w:r>
    </w:p>
    <w:p>
      <w:pPr>
        <w:spacing w:line="360" w:lineRule="exact"/>
        <w:ind w:firstLine="420" w:firstLineChars="200"/>
        <w:rPr>
          <w:rFonts w:ascii="宋体" w:hAnsi="宋体" w:cs="宋体"/>
          <w:szCs w:val="21"/>
        </w:rPr>
      </w:pPr>
      <w:r>
        <w:rPr>
          <w:rFonts w:hint="eastAsia" w:ascii="宋体" w:hAnsi="宋体" w:cs="宋体"/>
          <w:szCs w:val="21"/>
        </w:rPr>
        <w:t>使用焦炭（土焦）、褐煤和煤球、煤棒等型煤的计算方法同上，煤球、煤棒等型煤要扣除所含的黏结剂（如石灰、水泥等）重量。</w:t>
      </w:r>
    </w:p>
    <w:p>
      <w:pPr>
        <w:spacing w:line="360" w:lineRule="exact"/>
        <w:ind w:firstLine="420" w:firstLineChars="200"/>
        <w:rPr>
          <w:rFonts w:ascii="宋体" w:hAnsi="宋体" w:cs="宋体"/>
          <w:szCs w:val="21"/>
        </w:rPr>
      </w:pPr>
      <w:r>
        <w:rPr>
          <w:rFonts w:hint="eastAsia" w:ascii="宋体" w:hAnsi="宋体" w:cs="宋体"/>
          <w:szCs w:val="21"/>
        </w:rPr>
        <w:t>合成氨原料煤耗（标准煤）＝∑各批入炉原料煤实物量×折标准煤系数</w:t>
      </w:r>
    </w:p>
    <w:p>
      <w:pPr>
        <w:spacing w:line="360" w:lineRule="exact"/>
        <w:ind w:firstLine="420" w:firstLineChars="200"/>
        <w:rPr>
          <w:rFonts w:ascii="宋体" w:hAnsi="宋体" w:cs="宋体"/>
          <w:szCs w:val="21"/>
        </w:rPr>
      </w:pPr>
      <w:r>
        <w:rPr>
          <w:rFonts w:hint="eastAsia" w:ascii="宋体" w:hAnsi="宋体" w:cs="宋体"/>
          <w:szCs w:val="21"/>
        </w:rPr>
        <w:t>折标准煤系数＝煤的热值（低位热值）（千卡/千克）/7000（千卡/千克）</w:t>
      </w:r>
    </w:p>
    <w:p>
      <w:pPr>
        <w:spacing w:line="360" w:lineRule="exact"/>
        <w:ind w:firstLine="420" w:firstLineChars="200"/>
        <w:rPr>
          <w:rFonts w:ascii="宋体" w:hAnsi="宋体" w:cs="宋体"/>
          <w:szCs w:val="21"/>
        </w:rPr>
      </w:pPr>
      <w:r>
        <w:rPr>
          <w:rFonts w:hint="eastAsia" w:ascii="宋体" w:hAnsi="宋体" w:cs="宋体"/>
          <w:szCs w:val="21"/>
        </w:rPr>
        <w:t>各批次煤的低位热值一律以入炉煤取样、用氧弹仪分析的数据为准。标准燃料煤的低位发热值为7000（千卡/千克 或29271千焦/千克）。</w:t>
      </w:r>
    </w:p>
    <w:p>
      <w:pPr>
        <w:spacing w:line="360" w:lineRule="exact"/>
        <w:ind w:firstLine="420" w:firstLineChars="200"/>
        <w:rPr>
          <w:rFonts w:ascii="宋体" w:hAnsi="宋体" w:cs="宋体"/>
          <w:szCs w:val="21"/>
        </w:rPr>
      </w:pPr>
      <w:r>
        <w:rPr>
          <w:rFonts w:hint="eastAsia" w:ascii="宋体" w:hAnsi="宋体" w:cs="宋体"/>
          <w:szCs w:val="21"/>
        </w:rPr>
        <w:t>分母项：合成氨（无水氨）产量。说明同上。</w:t>
      </w:r>
    </w:p>
    <w:p>
      <w:pPr>
        <w:spacing w:line="360" w:lineRule="exact"/>
        <w:ind w:firstLine="420" w:firstLineChars="200"/>
        <w:rPr>
          <w:rFonts w:eastAsia="黑体"/>
          <w:szCs w:val="21"/>
        </w:rPr>
      </w:pPr>
      <w:r>
        <w:rPr>
          <w:rFonts w:eastAsia="黑体"/>
          <w:szCs w:val="21"/>
        </w:rPr>
        <w:t xml:space="preserve">单位合成氨耗标准燃料煤  </w:t>
      </w:r>
    </w:p>
    <w:p>
      <w:pPr>
        <w:spacing w:line="360" w:lineRule="exact"/>
        <w:ind w:left="5880" w:leftChars="207" w:hanging="5445" w:hangingChars="2593"/>
        <w:rPr>
          <w:rFonts w:ascii="宋体" w:hAnsi="宋体" w:cs="宋体"/>
          <w:szCs w:val="21"/>
        </w:rPr>
      </w:pPr>
      <w:r>
        <w:rPr>
          <w:rFonts w:hint="eastAsia" w:ascii="宋体" w:hAnsi="宋体" w:cs="宋体"/>
          <w:szCs w:val="21"/>
        </w:rPr>
        <w:t>计算公式：单位合成氨耗标准燃料煤（千克标准煤/吨）＝1000×合成氨耗标准燃料煤总量（吨标准煤）/合成氨（无水氨）产量（吨）</w:t>
      </w:r>
    </w:p>
    <w:p>
      <w:pPr>
        <w:spacing w:line="360" w:lineRule="exact"/>
        <w:ind w:firstLine="420" w:firstLineChars="200"/>
        <w:rPr>
          <w:rFonts w:ascii="宋体" w:hAnsi="宋体" w:cs="宋体"/>
          <w:szCs w:val="21"/>
        </w:rPr>
      </w:pPr>
      <w:r>
        <w:rPr>
          <w:rFonts w:hint="eastAsia" w:ascii="宋体" w:hAnsi="宋体" w:cs="宋体"/>
          <w:szCs w:val="21"/>
        </w:rPr>
        <w:t>分子项：合成氨耗标准燃料煤。指各批次燃料煤折标准煤之和。</w:t>
      </w:r>
    </w:p>
    <w:p>
      <w:pPr>
        <w:spacing w:line="360" w:lineRule="exact"/>
        <w:ind w:firstLine="420" w:firstLineChars="200"/>
        <w:rPr>
          <w:rFonts w:ascii="宋体" w:hAnsi="宋体" w:cs="宋体"/>
          <w:szCs w:val="21"/>
        </w:rPr>
      </w:pPr>
      <w:r>
        <w:rPr>
          <w:rFonts w:hint="eastAsia" w:ascii="宋体" w:hAnsi="宋体" w:cs="宋体"/>
          <w:szCs w:val="21"/>
        </w:rPr>
        <w:t>合成氨耗标准燃料煤总量，主要指用来发生蒸汽，以满足合成氨生产系统和辅助、附属生产系统用蒸汽消耗的燃料煤。外购蒸汽量应按进厂焓值和锅炉效率折标准燃料煤。</w:t>
      </w:r>
    </w:p>
    <w:p>
      <w:pPr>
        <w:spacing w:line="360" w:lineRule="exact"/>
        <w:ind w:firstLine="436" w:firstLineChars="200"/>
        <w:rPr>
          <w:rFonts w:ascii="宋体" w:hAnsi="宋体" w:cs="宋体"/>
          <w:spacing w:val="4"/>
          <w:szCs w:val="21"/>
        </w:rPr>
      </w:pPr>
      <w:r>
        <w:rPr>
          <w:rFonts w:hint="eastAsia" w:ascii="宋体" w:hAnsi="宋体" w:cs="宋体"/>
          <w:spacing w:val="4"/>
          <w:szCs w:val="21"/>
        </w:rPr>
        <w:t>生产系统耗汽量，包括从造气、净化、压缩、氨合成、冰机到氨库止各工序生产和开停过程用汽（含大、中、小修开车），以及上述各工序设备、管道保温用汽和车间、分析化验、车间办公室采暖用汽等。</w:t>
      </w:r>
    </w:p>
    <w:p>
      <w:pPr>
        <w:spacing w:line="360" w:lineRule="exact"/>
        <w:ind w:firstLine="420" w:firstLineChars="200"/>
        <w:rPr>
          <w:rFonts w:ascii="宋体" w:hAnsi="宋体" w:cs="宋体"/>
          <w:szCs w:val="21"/>
        </w:rPr>
      </w:pPr>
      <w:r>
        <w:rPr>
          <w:rFonts w:hint="eastAsia" w:ascii="宋体" w:hAnsi="宋体" w:cs="宋体"/>
          <w:szCs w:val="21"/>
        </w:rPr>
        <w:t>辅助、附属生产系统耗汽量，包括煤球制造、除氧水制备、原料和燃料场库及预处理、煤球车间、自备锅炉房及机、电、仪修车间和上述车间办公室的全部采暖用汽，以及计划大、中、小修和事故检修的置换、吹洗用汽以及安全生产、三废处理、环保过程用汽。</w:t>
      </w:r>
    </w:p>
    <w:p>
      <w:pPr>
        <w:spacing w:line="360" w:lineRule="exact"/>
        <w:ind w:firstLine="420" w:firstLineChars="200"/>
        <w:rPr>
          <w:rFonts w:ascii="宋体" w:hAnsi="宋体" w:cs="宋体"/>
          <w:szCs w:val="21"/>
        </w:rPr>
      </w:pPr>
      <w:r>
        <w:rPr>
          <w:rFonts w:hint="eastAsia" w:ascii="宋体" w:hAnsi="宋体" w:cs="宋体"/>
          <w:szCs w:val="21"/>
        </w:rPr>
        <w:t>蒸汽只供合成氨使用时，燃料煤消耗量或蒸汽量全部计入合成氨消耗；蒸汽为多产品使用，应合理分摊燃料煤消耗量。</w:t>
      </w:r>
    </w:p>
    <w:p>
      <w:pPr>
        <w:spacing w:line="360" w:lineRule="exact"/>
        <w:ind w:firstLine="420" w:firstLineChars="200"/>
        <w:rPr>
          <w:rFonts w:ascii="宋体" w:hAnsi="宋体" w:cs="宋体"/>
          <w:szCs w:val="21"/>
        </w:rPr>
      </w:pPr>
      <w:r>
        <w:rPr>
          <w:rFonts w:hint="eastAsia" w:ascii="宋体" w:hAnsi="宋体" w:cs="宋体"/>
          <w:szCs w:val="21"/>
        </w:rPr>
        <w:t>锅炉掺烧的返炭、炉渣、煤矸石、块煤中筛分的沫煤不计入燃料消耗量，从锅炉烧余物中捡回的返炭不从消耗中扣除。</w:t>
      </w:r>
    </w:p>
    <w:p>
      <w:pPr>
        <w:spacing w:line="360" w:lineRule="exact"/>
        <w:ind w:firstLine="420" w:firstLineChars="200"/>
        <w:rPr>
          <w:rFonts w:ascii="宋体" w:hAnsi="宋体" w:cs="宋体"/>
          <w:spacing w:val="4"/>
          <w:szCs w:val="21"/>
        </w:rPr>
      </w:pPr>
      <w:r>
        <w:rPr>
          <w:rFonts w:hint="eastAsia" w:ascii="宋体" w:hAnsi="宋体" w:cs="宋体"/>
          <w:szCs w:val="21"/>
        </w:rPr>
        <w:t>合</w:t>
      </w:r>
      <w:r>
        <w:rPr>
          <w:rFonts w:hint="eastAsia" w:ascii="宋体" w:hAnsi="宋体" w:cs="宋体"/>
          <w:spacing w:val="4"/>
          <w:szCs w:val="21"/>
        </w:rPr>
        <w:t>成氨生产过程副产的蒸汽，为本系统自用的不计消耗，放空或输出的蒸汽也不从燃料煤消耗中扣除。</w:t>
      </w:r>
    </w:p>
    <w:p>
      <w:pPr>
        <w:spacing w:line="360" w:lineRule="exact"/>
        <w:ind w:firstLine="420" w:firstLineChars="200"/>
        <w:rPr>
          <w:rFonts w:ascii="宋体" w:hAnsi="宋体" w:cs="宋体"/>
          <w:szCs w:val="21"/>
        </w:rPr>
      </w:pPr>
      <w:r>
        <w:rPr>
          <w:rFonts w:hint="eastAsia" w:ascii="宋体" w:hAnsi="宋体" w:cs="宋体"/>
          <w:szCs w:val="21"/>
        </w:rPr>
        <w:t>分母项：合成氨（无水氨）产量。说明同上。</w:t>
      </w:r>
    </w:p>
    <w:p>
      <w:pPr>
        <w:spacing w:line="360" w:lineRule="exact"/>
        <w:ind w:firstLine="420" w:firstLineChars="200"/>
        <w:rPr>
          <w:rFonts w:ascii="宋体" w:hAnsi="宋体" w:cs="宋体"/>
          <w:bCs/>
          <w:szCs w:val="21"/>
        </w:rPr>
      </w:pPr>
    </w:p>
    <w:p>
      <w:pPr>
        <w:spacing w:line="360" w:lineRule="exact"/>
        <w:ind w:firstLine="420" w:firstLineChars="200"/>
        <w:rPr>
          <w:rFonts w:eastAsia="黑体"/>
          <w:bCs/>
          <w:szCs w:val="21"/>
        </w:rPr>
      </w:pPr>
      <w:r>
        <w:rPr>
          <w:rFonts w:eastAsia="黑体"/>
          <w:bCs/>
          <w:szCs w:val="21"/>
        </w:rPr>
        <w:t>水泥（30）</w:t>
      </w:r>
    </w:p>
    <w:p>
      <w:pPr>
        <w:spacing w:line="360" w:lineRule="exact"/>
        <w:ind w:firstLine="420" w:firstLineChars="200"/>
        <w:rPr>
          <w:szCs w:val="21"/>
        </w:rPr>
      </w:pPr>
      <w:r>
        <w:rPr>
          <w:szCs w:val="21"/>
        </w:rPr>
        <w:t>水泥生产工艺分为新型干法（预分解窑）立窑、湿法窑、中空窑、预热器窑、粉磨站、其他。</w:t>
      </w:r>
    </w:p>
    <w:p>
      <w:pPr>
        <w:spacing w:line="360" w:lineRule="exact"/>
        <w:ind w:firstLine="420" w:firstLineChars="200"/>
        <w:rPr>
          <w:szCs w:val="21"/>
        </w:rPr>
      </w:pPr>
      <w:r>
        <w:rPr>
          <w:rFonts w:eastAsia="黑体"/>
          <w:szCs w:val="21"/>
        </w:rPr>
        <w:t>吨水泥熟料综合能耗</w:t>
      </w:r>
    </w:p>
    <w:p>
      <w:pPr>
        <w:spacing w:line="360" w:lineRule="exact"/>
        <w:ind w:left="5354" w:leftChars="193" w:hanging="4949" w:hangingChars="2357"/>
        <w:rPr>
          <w:rFonts w:ascii="宋体" w:hAnsi="宋体" w:cs="宋体"/>
          <w:szCs w:val="21"/>
        </w:rPr>
      </w:pPr>
      <w:r>
        <w:rPr>
          <w:rFonts w:hint="eastAsia" w:ascii="宋体" w:hAnsi="宋体" w:cs="宋体"/>
          <w:szCs w:val="21"/>
        </w:rPr>
        <w:t>计算公式：吨水泥熟料综合能耗（千克标准煤/吨）＝1000×生产水泥熟料综合能源消费量（吨标准煤）/硅酸盐水泥熟料产量（吨）</w:t>
      </w:r>
    </w:p>
    <w:p>
      <w:pPr>
        <w:spacing w:line="360" w:lineRule="exact"/>
        <w:ind w:firstLine="420" w:firstLineChars="200"/>
        <w:rPr>
          <w:rFonts w:ascii="宋体" w:hAnsi="宋体" w:cs="宋体"/>
          <w:szCs w:val="21"/>
        </w:rPr>
      </w:pPr>
      <w:r>
        <w:rPr>
          <w:rFonts w:hint="eastAsia" w:ascii="宋体" w:hAnsi="宋体" w:cs="宋体"/>
          <w:szCs w:val="21"/>
        </w:rPr>
        <w:t>分子项：生产水泥熟料综合能源消费量。包括电力、煤炭、油品、天然气、煤气、液化气、蒸汽的消费。企业自备锅炉，自备发电机组生产的蒸汽、电力，由本企业消耗的，只计算第一次能源消耗，不重复计算蒸汽及电的消耗；利用余热发电亦不重复计算。</w:t>
      </w:r>
    </w:p>
    <w:p>
      <w:pPr>
        <w:spacing w:line="360" w:lineRule="exact"/>
        <w:ind w:firstLine="420" w:firstLineChars="200"/>
        <w:rPr>
          <w:szCs w:val="21"/>
        </w:rPr>
      </w:pPr>
      <w:r>
        <w:rPr>
          <w:szCs w:val="21"/>
        </w:rPr>
        <w:t>分母项：硅酸盐水泥熟料产量。为报告期合格品产量，计量单位为吨。凡是由本企业生产的水泥熟料，无论是作为商品熟料出售，还是作为水泥生产过程中的半成品，都应统计水泥熟料产量。外购的熟料不得统计产量。</w:t>
      </w:r>
    </w:p>
    <w:p>
      <w:pPr>
        <w:spacing w:line="360" w:lineRule="exact"/>
        <w:ind w:firstLine="420" w:firstLineChars="200"/>
        <w:rPr>
          <w:rFonts w:eastAsia="黑体"/>
          <w:szCs w:val="21"/>
        </w:rPr>
      </w:pPr>
      <w:r>
        <w:rPr>
          <w:rFonts w:eastAsia="黑体"/>
          <w:szCs w:val="21"/>
        </w:rPr>
        <w:t>吨水泥熟料烧成标准煤耗</w:t>
      </w:r>
    </w:p>
    <w:p>
      <w:pPr>
        <w:spacing w:line="360" w:lineRule="exact"/>
        <w:ind w:left="5775" w:leftChars="200" w:hanging="5355" w:hangingChars="2550"/>
        <w:rPr>
          <w:rFonts w:ascii="宋体" w:hAnsi="宋体" w:cs="宋体"/>
          <w:szCs w:val="21"/>
        </w:rPr>
      </w:pPr>
      <w:r>
        <w:rPr>
          <w:rFonts w:hint="eastAsia" w:ascii="宋体" w:hAnsi="宋体" w:cs="宋体"/>
          <w:szCs w:val="21"/>
        </w:rPr>
        <w:t>计算公式：吨水泥熟料烧成标准煤耗（千克标准煤/吨）＝1000×标准煤消费量（吨）/硅酸盐水泥熟料产量（吨）</w:t>
      </w:r>
    </w:p>
    <w:p>
      <w:pPr>
        <w:spacing w:line="360" w:lineRule="exact"/>
        <w:ind w:firstLine="420" w:firstLineChars="200"/>
        <w:rPr>
          <w:szCs w:val="21"/>
        </w:rPr>
      </w:pPr>
      <w:r>
        <w:rPr>
          <w:szCs w:val="21"/>
        </w:rPr>
        <w:t>分子项：标准煤消费量。指将实物煤消费量折算成标准煤的数量，包括入窑煤粉，以及烧成煤在制备过程中的损耗（如果收尘下的煤泥、煤粉转作其他生产用途，可以在烧成煤耗内扣除）。使用黑料浆的企业，包括掺入料浆的煤粉和采用窑外分解的回转窑进入分解炉的燃料，以及窑点火用油和烧气燃料。烧油气的企业，应将油气消耗折算成标准煤计入烧成煤耗。</w:t>
      </w:r>
    </w:p>
    <w:p>
      <w:pPr>
        <w:spacing w:line="360" w:lineRule="exact"/>
        <w:ind w:firstLine="420" w:firstLineChars="200"/>
        <w:rPr>
          <w:szCs w:val="21"/>
        </w:rPr>
      </w:pPr>
      <w:r>
        <w:rPr>
          <w:szCs w:val="21"/>
        </w:rPr>
        <w:t>采用不同方法（干法、半干法、湿法回转窑和立窑）生产熟料的企业应分别计算熟料烧成煤耗。</w:t>
      </w:r>
    </w:p>
    <w:p>
      <w:pPr>
        <w:spacing w:line="360" w:lineRule="exact"/>
        <w:ind w:firstLine="428" w:firstLineChars="200"/>
        <w:rPr>
          <w:spacing w:val="2"/>
          <w:szCs w:val="21"/>
        </w:rPr>
      </w:pPr>
      <w:r>
        <w:rPr>
          <w:spacing w:val="2"/>
          <w:szCs w:val="21"/>
        </w:rPr>
        <w:t>采用余热发电的回转窑企业，除按上式计算“每吨熟料烧成标准煤消耗量”外，为正确反映这类企业烧成用煤的实际情况，还要计算扣除带补燃料的余热发电煤耗后的每吨水泥熟料烧成标准煤耗。计算公式：</w:t>
      </w:r>
    </w:p>
    <w:p>
      <w:pPr>
        <w:spacing w:line="360" w:lineRule="exact"/>
        <w:ind w:left="840" w:leftChars="400"/>
        <w:rPr>
          <w:szCs w:val="21"/>
        </w:rPr>
      </w:pPr>
      <w:r>
        <w:rPr>
          <w:szCs w:val="21"/>
        </w:rPr>
        <w:t>扣除带补燃料的余热发电煤耗后每吨水泥熟料烧成耗标准煤耗（千克）</w:t>
      </w:r>
    </w:p>
    <w:p>
      <w:pPr>
        <w:spacing w:line="360" w:lineRule="exact"/>
        <w:ind w:left="840" w:leftChars="400"/>
        <w:rPr>
          <w:rFonts w:ascii="宋体" w:hAnsi="宋体" w:cs="宋体"/>
          <w:szCs w:val="21"/>
        </w:rPr>
      </w:pPr>
      <w:r>
        <w:rPr>
          <w:rFonts w:hint="eastAsia" w:ascii="宋体" w:hAnsi="宋体" w:cs="宋体"/>
          <w:szCs w:val="21"/>
        </w:rPr>
        <w:t>＝1000×扣除带补燃料的余热发电煤耗后的标准煤消耗量（吨）/硅酸盐水泥熟料产量（吨）</w:t>
      </w:r>
    </w:p>
    <w:p>
      <w:pPr>
        <w:spacing w:line="360" w:lineRule="exact"/>
        <w:ind w:firstLine="420" w:firstLineChars="200"/>
        <w:rPr>
          <w:rFonts w:ascii="宋体" w:hAnsi="宋体" w:cs="宋体"/>
          <w:szCs w:val="21"/>
        </w:rPr>
      </w:pPr>
      <w:r>
        <w:rPr>
          <w:rFonts w:hint="eastAsia" w:ascii="宋体" w:hAnsi="宋体" w:cs="宋体"/>
          <w:szCs w:val="21"/>
        </w:rPr>
        <w:t>说明：公式中的“扣除带补燃料的余热发电煤耗后的标准煤消耗量（吨）”，按下式计算：</w:t>
      </w:r>
    </w:p>
    <w:p>
      <w:pPr>
        <w:spacing w:line="360" w:lineRule="exact"/>
        <w:ind w:left="1050" w:leftChars="400" w:hanging="210" w:hangingChars="100"/>
        <w:rPr>
          <w:rFonts w:ascii="宋体" w:hAnsi="宋体" w:cs="宋体"/>
          <w:szCs w:val="21"/>
        </w:rPr>
      </w:pPr>
      <w:r>
        <w:rPr>
          <w:rFonts w:hint="eastAsia" w:ascii="宋体" w:hAnsi="宋体" w:cs="宋体"/>
          <w:szCs w:val="21"/>
        </w:rPr>
        <w:t>扣除带补燃料的余热发电煤耗后的标准煤消耗量（吨）</w:t>
      </w:r>
    </w:p>
    <w:p>
      <w:pPr>
        <w:spacing w:line="360" w:lineRule="exact"/>
        <w:ind w:left="1050" w:leftChars="400" w:hanging="210" w:hangingChars="100"/>
        <w:rPr>
          <w:rFonts w:ascii="宋体" w:hAnsi="宋体" w:cs="宋体"/>
          <w:szCs w:val="21"/>
        </w:rPr>
      </w:pPr>
      <w:r>
        <w:rPr>
          <w:rFonts w:hint="eastAsia" w:ascii="宋体" w:hAnsi="宋体" w:cs="宋体"/>
          <w:szCs w:val="21"/>
        </w:rPr>
        <w:t>＝烧成标准煤总消耗量（吨）－｛〔电站发电量（千瓦时）－电站自用电量（千瓦时）〕×0.1229（千克/千瓦时）÷1000｝</w:t>
      </w:r>
    </w:p>
    <w:p>
      <w:pPr>
        <w:spacing w:line="360" w:lineRule="exact"/>
        <w:ind w:firstLine="420" w:firstLineChars="200"/>
        <w:rPr>
          <w:rFonts w:ascii="宋体" w:hAnsi="宋体" w:cs="宋体"/>
          <w:szCs w:val="21"/>
        </w:rPr>
      </w:pPr>
      <w:r>
        <w:rPr>
          <w:rFonts w:hint="eastAsia" w:ascii="宋体" w:hAnsi="宋体" w:cs="宋体"/>
          <w:szCs w:val="21"/>
        </w:rPr>
        <w:t>注意：采用纯低温余热发电技术的新型干法水泥企业，其熟料烧成煤耗既没有增加，也没有减少，不得将发电量折标准煤抵扣熟料烧成标准煤耗</w:t>
      </w:r>
    </w:p>
    <w:p>
      <w:pPr>
        <w:spacing w:line="360" w:lineRule="exact"/>
        <w:ind w:firstLine="420" w:firstLineChars="200"/>
        <w:rPr>
          <w:rFonts w:ascii="宋体" w:hAnsi="宋体" w:cs="宋体"/>
          <w:szCs w:val="21"/>
        </w:rPr>
      </w:pPr>
      <w:r>
        <w:rPr>
          <w:rFonts w:hint="eastAsia" w:ascii="宋体" w:hAnsi="宋体" w:cs="宋体"/>
          <w:szCs w:val="21"/>
        </w:rPr>
        <w:t>分母项：硅酸盐水泥熟料产量。指报告期合格品产量，计量单位为吨。</w:t>
      </w:r>
    </w:p>
    <w:p>
      <w:pPr>
        <w:spacing w:line="360" w:lineRule="exact"/>
        <w:ind w:firstLine="420" w:firstLineChars="200"/>
        <w:rPr>
          <w:rFonts w:ascii="宋体" w:hAnsi="宋体" w:cs="宋体"/>
          <w:szCs w:val="21"/>
        </w:rPr>
      </w:pPr>
      <w:r>
        <w:rPr>
          <w:rFonts w:hint="eastAsia" w:ascii="宋体" w:hAnsi="宋体" w:cs="宋体"/>
          <w:szCs w:val="21"/>
        </w:rPr>
        <w:t>吨水泥熟料综合电耗</w:t>
      </w:r>
    </w:p>
    <w:p>
      <w:pPr>
        <w:spacing w:line="360" w:lineRule="exact"/>
        <w:ind w:left="4935" w:leftChars="200" w:hanging="4515" w:hangingChars="2150"/>
        <w:rPr>
          <w:rFonts w:ascii="宋体" w:hAnsi="宋体" w:cs="宋体"/>
          <w:szCs w:val="21"/>
        </w:rPr>
      </w:pPr>
      <w:r>
        <w:rPr>
          <w:rFonts w:hint="eastAsia" w:ascii="宋体" w:hAnsi="宋体" w:cs="宋体"/>
          <w:szCs w:val="21"/>
        </w:rPr>
        <w:t>计算公式：吨水泥熟料综合电耗（千瓦时/吨）＝10000×熟料生产综合电力消费量（万千瓦时）/硅酸盐水泥熟料产量（吨）</w:t>
      </w:r>
    </w:p>
    <w:p>
      <w:pPr>
        <w:spacing w:line="360" w:lineRule="exact"/>
        <w:ind w:firstLine="420" w:firstLineChars="200"/>
        <w:rPr>
          <w:rFonts w:ascii="宋体" w:hAnsi="宋体" w:cs="宋体"/>
          <w:szCs w:val="21"/>
        </w:rPr>
      </w:pPr>
      <w:r>
        <w:rPr>
          <w:rFonts w:hint="eastAsia" w:ascii="宋体" w:hAnsi="宋体" w:cs="宋体"/>
          <w:szCs w:val="21"/>
        </w:rPr>
        <w:t>分子项：熟料生产综合电力消费量。包括熟料工序用电，以及生料电力消耗。熟料工序用电中还包括生产煤粉各项用电，即生产水泥熟料的全部电耗。</w:t>
      </w:r>
    </w:p>
    <w:p>
      <w:pPr>
        <w:spacing w:line="360" w:lineRule="exact"/>
        <w:ind w:firstLine="420" w:firstLineChars="200"/>
        <w:rPr>
          <w:rFonts w:ascii="宋体" w:hAnsi="宋体" w:cs="宋体"/>
          <w:szCs w:val="21"/>
        </w:rPr>
      </w:pPr>
      <w:r>
        <w:rPr>
          <w:rFonts w:hint="eastAsia" w:ascii="宋体" w:hAnsi="宋体" w:cs="宋体"/>
          <w:szCs w:val="21"/>
        </w:rPr>
        <w:t xml:space="preserve">熟料生产综合电力消费量＝熟料工序电力消耗量+生料消耗量×本期每吨生料电力消耗量 </w:t>
      </w:r>
    </w:p>
    <w:p>
      <w:pPr>
        <w:spacing w:line="360" w:lineRule="exact"/>
        <w:ind w:firstLine="420" w:firstLineChars="200"/>
        <w:rPr>
          <w:rFonts w:ascii="宋体" w:hAnsi="宋体" w:cs="宋体"/>
          <w:szCs w:val="21"/>
        </w:rPr>
      </w:pPr>
      <w:r>
        <w:rPr>
          <w:rFonts w:hint="eastAsia" w:ascii="宋体" w:hAnsi="宋体" w:cs="宋体"/>
          <w:szCs w:val="21"/>
        </w:rPr>
        <w:t>只生产水泥熟料的企业（不生产水泥），熟料生产综合电力消费量还要包括水泥熟料发送工序的电力消耗量。</w:t>
      </w:r>
    </w:p>
    <w:p>
      <w:pPr>
        <w:spacing w:line="360" w:lineRule="exact"/>
        <w:ind w:firstLine="420" w:firstLineChars="200"/>
        <w:rPr>
          <w:rFonts w:ascii="宋体" w:hAnsi="宋体" w:cs="宋体"/>
          <w:szCs w:val="21"/>
        </w:rPr>
      </w:pPr>
      <w:r>
        <w:rPr>
          <w:rFonts w:hint="eastAsia" w:ascii="宋体" w:hAnsi="宋体" w:cs="宋体"/>
          <w:szCs w:val="21"/>
        </w:rPr>
        <w:t>采用纯低温余热发电技术的新型干法水泥企业其电力自用量不得抵扣熟料生产综合电力消费量。</w:t>
      </w:r>
    </w:p>
    <w:p>
      <w:pPr>
        <w:spacing w:line="360" w:lineRule="exact"/>
        <w:ind w:firstLine="420" w:firstLineChars="200"/>
        <w:rPr>
          <w:rFonts w:ascii="宋体" w:hAnsi="宋体" w:cs="宋体"/>
          <w:szCs w:val="21"/>
        </w:rPr>
      </w:pPr>
      <w:r>
        <w:rPr>
          <w:rFonts w:hint="eastAsia" w:ascii="宋体" w:hAnsi="宋体" w:cs="宋体"/>
          <w:szCs w:val="21"/>
        </w:rPr>
        <w:t>分母项：硅酸盐水泥熟料产量。指报告期合格品产量，计量单位为吨。</w:t>
      </w:r>
    </w:p>
    <w:p>
      <w:pPr>
        <w:spacing w:line="360" w:lineRule="exact"/>
        <w:ind w:firstLine="420" w:firstLineChars="200"/>
        <w:rPr>
          <w:rFonts w:ascii="宋体" w:hAnsi="宋体" w:cs="宋体"/>
          <w:szCs w:val="21"/>
        </w:rPr>
      </w:pPr>
      <w:r>
        <w:rPr>
          <w:rFonts w:hint="eastAsia" w:ascii="宋体" w:hAnsi="宋体" w:cs="宋体"/>
          <w:szCs w:val="21"/>
        </w:rPr>
        <w:t>吨水泥综合能耗</w:t>
      </w:r>
    </w:p>
    <w:p>
      <w:pPr>
        <w:spacing w:line="360" w:lineRule="exact"/>
        <w:ind w:left="4934" w:leftChars="193" w:hanging="4529" w:hangingChars="2157"/>
        <w:rPr>
          <w:rFonts w:ascii="宋体" w:hAnsi="宋体" w:cs="宋体"/>
          <w:szCs w:val="21"/>
        </w:rPr>
      </w:pPr>
      <w:r>
        <w:rPr>
          <w:rFonts w:hint="eastAsia" w:ascii="宋体" w:hAnsi="宋体" w:cs="宋体"/>
          <w:szCs w:val="21"/>
        </w:rPr>
        <w:t>计算公式：吨水泥综合能耗（千克标准煤/吨）＝1000×生产水泥综合能源消费量（吨标准煤）/水泥产量（吨）</w:t>
      </w:r>
    </w:p>
    <w:p>
      <w:pPr>
        <w:spacing w:line="360" w:lineRule="exact"/>
        <w:ind w:firstLine="420" w:firstLineChars="200"/>
        <w:rPr>
          <w:rFonts w:ascii="宋体" w:hAnsi="宋体" w:cs="宋体"/>
          <w:szCs w:val="21"/>
        </w:rPr>
      </w:pPr>
      <w:r>
        <w:rPr>
          <w:rFonts w:hint="eastAsia" w:ascii="宋体" w:hAnsi="宋体" w:cs="宋体"/>
          <w:szCs w:val="21"/>
        </w:rPr>
        <w:t>分子项：生产水泥综合能源消费量。包括电力、原煤、洗精煤、焦炭、原油、重油（包括渣油）、汽油、煤油、柴油、天然气、煤气、液化气、蒸汽等。企业自备锅炉、自备发电机组生产的蒸汽、电力，由本企业消耗的，只计算第一次能源消耗，不再重复计算蒸汽及电的消耗；余热发电亦不重复计算。依据分子分母对应原则，生产水泥综合能源消费量不应包括已销售的商品熟料所消耗的能源。</w:t>
      </w:r>
    </w:p>
    <w:p>
      <w:pPr>
        <w:spacing w:line="360" w:lineRule="exact"/>
        <w:ind w:firstLine="420" w:firstLineChars="200"/>
        <w:rPr>
          <w:rFonts w:ascii="宋体" w:hAnsi="宋体" w:cs="宋体"/>
          <w:szCs w:val="21"/>
        </w:rPr>
      </w:pPr>
      <w:r>
        <w:rPr>
          <w:rFonts w:hint="eastAsia" w:ascii="宋体" w:hAnsi="宋体" w:cs="宋体"/>
          <w:szCs w:val="21"/>
        </w:rPr>
        <w:t>分母项：水泥产量。指报告期合格品产量，计量单位为吨。水泥是指加水拌和成塑性浆体,能胶结砂、石等适当材料并能在空气和水中硬化的粉状水硬性胶凝材料。企业在统计水泥产量时，不得将达不到水泥强度等级的废品水泥和已销售的商品熟料折合成水泥统计在水泥产量中。</w:t>
      </w:r>
    </w:p>
    <w:p>
      <w:pPr>
        <w:spacing w:line="360" w:lineRule="exact"/>
        <w:ind w:firstLine="420" w:firstLineChars="200"/>
        <w:rPr>
          <w:rFonts w:eastAsia="黑体"/>
          <w:szCs w:val="21"/>
        </w:rPr>
      </w:pPr>
      <w:r>
        <w:rPr>
          <w:rFonts w:eastAsia="黑体"/>
          <w:szCs w:val="21"/>
        </w:rPr>
        <w:t>吨水泥实物煤耗</w:t>
      </w:r>
    </w:p>
    <w:p>
      <w:pPr>
        <w:spacing w:line="360" w:lineRule="exact"/>
        <w:ind w:left="1419" w:leftChars="200" w:hanging="999" w:hangingChars="485"/>
        <w:rPr>
          <w:rFonts w:ascii="宋体" w:hAnsi="宋体" w:cs="宋体"/>
          <w:spacing w:val="-2"/>
          <w:szCs w:val="21"/>
        </w:rPr>
      </w:pPr>
      <w:r>
        <w:rPr>
          <w:rFonts w:hint="eastAsia" w:ascii="宋体" w:hAnsi="宋体" w:cs="宋体"/>
          <w:spacing w:val="-2"/>
          <w:szCs w:val="21"/>
        </w:rPr>
        <w:t>计算公式：吨水泥实物煤耗（千克/吨）＝ 1000 ×水泥生产实物煤综合消费量（吨）/水泥产量（吨）</w:t>
      </w:r>
    </w:p>
    <w:p>
      <w:pPr>
        <w:spacing w:line="360" w:lineRule="exact"/>
        <w:ind w:firstLine="420" w:firstLineChars="200"/>
        <w:rPr>
          <w:rFonts w:ascii="宋体" w:hAnsi="宋体" w:cs="宋体"/>
          <w:szCs w:val="21"/>
        </w:rPr>
      </w:pPr>
      <w:r>
        <w:rPr>
          <w:rFonts w:hint="eastAsia" w:ascii="宋体" w:hAnsi="宋体" w:cs="宋体"/>
          <w:szCs w:val="21"/>
        </w:rPr>
        <w:t>分子项：水泥生产实物煤综合消费量。包括熟料综合煤耗、混合材烘干煤耗以外，还包括为水泥生产直接服务的其他煤耗，如机修车间烘炉用煤，蒸汽锅炉用煤。原煤在粉磨过程中，用收尘办法回收的煤粉重新用于生产时应计算消耗，用于生产其他产品或用于生活福利的，则应扣除。</w:t>
      </w:r>
    </w:p>
    <w:p>
      <w:pPr>
        <w:spacing w:line="360" w:lineRule="exact"/>
        <w:ind w:right="-38" w:firstLine="420"/>
        <w:rPr>
          <w:rFonts w:ascii="宋体" w:hAnsi="宋体" w:cs="宋体"/>
          <w:szCs w:val="21"/>
        </w:rPr>
      </w:pPr>
      <w:r>
        <w:rPr>
          <w:rFonts w:hint="eastAsia" w:ascii="宋体" w:hAnsi="宋体" w:cs="宋体"/>
          <w:szCs w:val="21"/>
        </w:rPr>
        <w:t>水泥生产实物煤综合消费量（吨）＝熟料消耗量（吨）×每吨熟料综合煤耗（吨）+混合材消耗量（吨）×每吨混合材烘干煤耗（吨）+其他生产用煤（吨）</w:t>
      </w:r>
    </w:p>
    <w:p>
      <w:pPr>
        <w:spacing w:line="360" w:lineRule="exact"/>
        <w:ind w:firstLine="420" w:firstLineChars="200"/>
        <w:rPr>
          <w:rFonts w:ascii="宋体" w:hAnsi="宋体" w:cs="宋体"/>
          <w:szCs w:val="21"/>
        </w:rPr>
      </w:pPr>
      <w:r>
        <w:rPr>
          <w:rFonts w:hint="eastAsia" w:ascii="宋体" w:hAnsi="宋体" w:cs="宋体"/>
          <w:szCs w:val="21"/>
        </w:rPr>
        <w:t>分母项：水泥产量。说明同上。</w:t>
      </w:r>
    </w:p>
    <w:p>
      <w:pPr>
        <w:spacing w:line="360" w:lineRule="exact"/>
        <w:ind w:firstLine="420" w:firstLineChars="200"/>
        <w:rPr>
          <w:rFonts w:eastAsia="黑体"/>
          <w:szCs w:val="21"/>
        </w:rPr>
      </w:pPr>
      <w:r>
        <w:rPr>
          <w:rFonts w:eastAsia="黑体"/>
          <w:szCs w:val="21"/>
        </w:rPr>
        <w:t>吨水泥标准煤耗</w:t>
      </w:r>
    </w:p>
    <w:p>
      <w:pPr>
        <w:spacing w:line="360" w:lineRule="exact"/>
        <w:ind w:firstLine="420" w:firstLineChars="200"/>
        <w:rPr>
          <w:szCs w:val="21"/>
        </w:rPr>
      </w:pPr>
      <w:r>
        <w:rPr>
          <w:szCs w:val="21"/>
        </w:rPr>
        <w:t>吨水泥标准煤耗的计算公式、包括范围同“吨水泥实物煤耗”，区别仅是将实物煤用折标准煤系数换算成标准煤。</w:t>
      </w:r>
    </w:p>
    <w:p>
      <w:pPr>
        <w:spacing w:line="360" w:lineRule="exact"/>
        <w:ind w:firstLine="420" w:firstLineChars="200"/>
        <w:rPr>
          <w:rFonts w:eastAsia="黑体"/>
          <w:szCs w:val="21"/>
        </w:rPr>
      </w:pPr>
      <w:r>
        <w:rPr>
          <w:rFonts w:eastAsia="黑体"/>
          <w:szCs w:val="21"/>
        </w:rPr>
        <w:t>吨水泥综合电耗</w:t>
      </w:r>
    </w:p>
    <w:p>
      <w:pPr>
        <w:spacing w:line="360" w:lineRule="exact"/>
        <w:ind w:left="4410" w:leftChars="200" w:hanging="3990" w:hangingChars="1900"/>
        <w:rPr>
          <w:rFonts w:ascii="宋体" w:hAnsi="宋体" w:cs="宋体"/>
          <w:szCs w:val="21"/>
        </w:rPr>
      </w:pPr>
      <w:r>
        <w:rPr>
          <w:rFonts w:hint="eastAsia" w:ascii="宋体" w:hAnsi="宋体" w:cs="宋体"/>
          <w:szCs w:val="21"/>
        </w:rPr>
        <w:t>计算公式：吨水泥综合电耗（千瓦时/吨）＝10000×水泥生产综合电力消费量（万千瓦时）/水泥产量（吨）</w:t>
      </w:r>
    </w:p>
    <w:p>
      <w:pPr>
        <w:spacing w:line="360" w:lineRule="exact"/>
        <w:ind w:firstLine="420" w:firstLineChars="200"/>
        <w:rPr>
          <w:szCs w:val="21"/>
        </w:rPr>
      </w:pPr>
      <w:r>
        <w:rPr>
          <w:szCs w:val="21"/>
        </w:rPr>
        <w:t>分子项： 水泥生产综合电力消费量。指生产水泥（不分品种、标号）所消耗的电力。消耗的电力应包括：水泥工序电耗，水泥所消耗的熟料、石膏、混合材的电力消耗量，水泥出厂时，进行包装或者散装所消耗的电力。为各种辅助用电，如机修、供热、供水、供风、化验等辅助用电，变电、配电、线路损失的电力，厂区、办公室、仓库照明用电，如果企业除生产水泥外，还生产其他产品，则要按比例进行合理分摊。</w:t>
      </w:r>
    </w:p>
    <w:p>
      <w:pPr>
        <w:spacing w:line="360" w:lineRule="exact"/>
        <w:ind w:firstLine="420" w:firstLineChars="200"/>
        <w:rPr>
          <w:szCs w:val="21"/>
        </w:rPr>
      </w:pPr>
      <w:r>
        <w:rPr>
          <w:szCs w:val="21"/>
        </w:rPr>
        <w:t>水泥生产综合电力消费量＝水泥粉磨及包装工序耗电量</w:t>
      </w:r>
      <w:r>
        <w:rPr>
          <w:rFonts w:hint="eastAsia" w:ascii="宋体" w:hAnsi="宋体" w:cs="宋体"/>
          <w:szCs w:val="21"/>
        </w:rPr>
        <w:t>+</w:t>
      </w:r>
      <w:r>
        <w:rPr>
          <w:szCs w:val="21"/>
        </w:rPr>
        <w:t>熟料消耗量</w:t>
      </w:r>
      <w:r>
        <w:rPr>
          <w:rFonts w:hint="eastAsia" w:ascii="宋体" w:hAnsi="宋体" w:cs="宋体"/>
          <w:szCs w:val="21"/>
        </w:rPr>
        <w:t>×</w:t>
      </w:r>
      <w:r>
        <w:rPr>
          <w:szCs w:val="21"/>
        </w:rPr>
        <w:t>本期每吨熟料电力消耗量</w:t>
      </w:r>
      <w:r>
        <w:rPr>
          <w:rFonts w:hint="eastAsia" w:ascii="宋体" w:hAnsi="宋体" w:cs="宋体"/>
          <w:szCs w:val="21"/>
        </w:rPr>
        <w:t>+</w:t>
      </w:r>
      <w:r>
        <w:rPr>
          <w:szCs w:val="21"/>
        </w:rPr>
        <w:t>混合材消耗量</w:t>
      </w:r>
      <w:r>
        <w:rPr>
          <w:rFonts w:hint="eastAsia" w:ascii="宋体" w:hAnsi="宋体" w:cs="宋体"/>
          <w:szCs w:val="21"/>
        </w:rPr>
        <w:t>×</w:t>
      </w:r>
      <w:r>
        <w:rPr>
          <w:szCs w:val="21"/>
        </w:rPr>
        <w:t>本期每吨混合材电力消耗量</w:t>
      </w:r>
      <w:r>
        <w:rPr>
          <w:rFonts w:hint="eastAsia" w:ascii="宋体" w:hAnsi="宋体" w:cs="宋体"/>
          <w:szCs w:val="21"/>
        </w:rPr>
        <w:t>+</w:t>
      </w:r>
      <w:r>
        <w:rPr>
          <w:szCs w:val="21"/>
        </w:rPr>
        <w:t>石膏消耗量</w:t>
      </w:r>
      <w:r>
        <w:rPr>
          <w:rFonts w:hint="eastAsia" w:ascii="宋体" w:hAnsi="宋体" w:cs="宋体"/>
          <w:szCs w:val="21"/>
        </w:rPr>
        <w:t>×</w:t>
      </w:r>
      <w:r>
        <w:rPr>
          <w:szCs w:val="21"/>
        </w:rPr>
        <w:t>本期每吨石膏电力消耗量</w:t>
      </w:r>
      <w:r>
        <w:rPr>
          <w:rFonts w:hint="eastAsia" w:ascii="宋体" w:hAnsi="宋体" w:cs="宋体"/>
          <w:szCs w:val="21"/>
        </w:rPr>
        <w:t>+</w:t>
      </w:r>
      <w:r>
        <w:rPr>
          <w:szCs w:val="21"/>
        </w:rPr>
        <w:t>应分摊的辅助用电量</w:t>
      </w:r>
    </w:p>
    <w:p>
      <w:pPr>
        <w:spacing w:line="360" w:lineRule="exact"/>
        <w:ind w:firstLine="420" w:firstLineChars="200"/>
        <w:rPr>
          <w:szCs w:val="21"/>
        </w:rPr>
      </w:pPr>
      <w:r>
        <w:rPr>
          <w:szCs w:val="21"/>
        </w:rPr>
        <w:t>只进行水泥生产的企业（俗称水泥粉磨站），水泥生产综合电力消费量＝水泥粉磨及包装工序耗电量</w:t>
      </w:r>
      <w:r>
        <w:rPr>
          <w:rFonts w:hint="eastAsia" w:ascii="宋体" w:hAnsi="宋体" w:cs="宋体"/>
          <w:szCs w:val="21"/>
        </w:rPr>
        <w:t>+</w:t>
      </w:r>
      <w:r>
        <w:rPr>
          <w:szCs w:val="21"/>
        </w:rPr>
        <w:t>水泥粉磨原料消耗量</w:t>
      </w:r>
      <w:r>
        <w:rPr>
          <w:rFonts w:hint="eastAsia" w:ascii="宋体" w:hAnsi="宋体" w:cs="宋体"/>
          <w:szCs w:val="21"/>
        </w:rPr>
        <w:t>×</w:t>
      </w:r>
      <w:r>
        <w:rPr>
          <w:szCs w:val="21"/>
        </w:rPr>
        <w:t>本期每吨原料进厂工序电耗</w:t>
      </w:r>
      <w:r>
        <w:rPr>
          <w:rFonts w:hint="eastAsia" w:ascii="宋体" w:hAnsi="宋体" w:cs="宋体"/>
          <w:szCs w:val="21"/>
        </w:rPr>
        <w:t>+</w:t>
      </w:r>
      <w:r>
        <w:rPr>
          <w:szCs w:val="21"/>
        </w:rPr>
        <w:t>水泥发运工序耗电</w:t>
      </w:r>
      <w:r>
        <w:rPr>
          <w:rFonts w:hint="eastAsia" w:ascii="宋体" w:hAnsi="宋体" w:cs="宋体"/>
          <w:szCs w:val="21"/>
        </w:rPr>
        <w:t>+</w:t>
      </w:r>
      <w:r>
        <w:rPr>
          <w:szCs w:val="21"/>
        </w:rPr>
        <w:t xml:space="preserve">应分摊的辅助用电量 </w:t>
      </w:r>
    </w:p>
    <w:p>
      <w:pPr>
        <w:spacing w:line="360" w:lineRule="exact"/>
        <w:ind w:firstLine="420" w:firstLineChars="200"/>
        <w:rPr>
          <w:szCs w:val="21"/>
        </w:rPr>
      </w:pPr>
      <w:r>
        <w:rPr>
          <w:szCs w:val="21"/>
        </w:rPr>
        <w:t>分母项：水泥产量。说明同上。</w:t>
      </w:r>
    </w:p>
    <w:p>
      <w:pPr>
        <w:spacing w:line="360" w:lineRule="exact"/>
        <w:ind w:firstLine="420" w:firstLineChars="200"/>
        <w:jc w:val="left"/>
        <w:rPr>
          <w:rFonts w:eastAsia="黑体"/>
          <w:bCs/>
          <w:szCs w:val="21"/>
        </w:rPr>
      </w:pPr>
      <w:r>
        <w:rPr>
          <w:rFonts w:eastAsia="黑体"/>
          <w:bCs/>
          <w:szCs w:val="21"/>
        </w:rPr>
        <w:t>平板玻璃（30）</w:t>
      </w:r>
    </w:p>
    <w:p>
      <w:pPr>
        <w:spacing w:line="360" w:lineRule="exact"/>
        <w:ind w:firstLine="420" w:firstLineChars="200"/>
        <w:rPr>
          <w:szCs w:val="21"/>
        </w:rPr>
      </w:pPr>
      <w:r>
        <w:rPr>
          <w:szCs w:val="21"/>
        </w:rPr>
        <w:t>平板玻璃生产工艺分为：浮法、垂直引上、格法、平拉、其他。</w:t>
      </w:r>
    </w:p>
    <w:p>
      <w:pPr>
        <w:spacing w:line="360" w:lineRule="exact"/>
        <w:ind w:firstLine="420" w:firstLineChars="200"/>
        <w:rPr>
          <w:rFonts w:eastAsia="黑体"/>
          <w:szCs w:val="21"/>
        </w:rPr>
      </w:pPr>
      <w:r>
        <w:rPr>
          <w:rFonts w:eastAsia="黑体"/>
          <w:szCs w:val="21"/>
        </w:rPr>
        <w:t>每重量箱平板玻璃综合能耗</w:t>
      </w:r>
    </w:p>
    <w:p>
      <w:pPr>
        <w:spacing w:line="360" w:lineRule="exact"/>
        <w:ind w:left="6089" w:leftChars="193" w:hanging="5684" w:hangingChars="2707"/>
        <w:rPr>
          <w:rFonts w:ascii="宋体" w:hAnsi="宋体" w:cs="宋体"/>
          <w:szCs w:val="21"/>
        </w:rPr>
      </w:pPr>
      <w:r>
        <w:rPr>
          <w:szCs w:val="21"/>
        </w:rPr>
        <w:t>计算公式：每重量箱平板玻璃综合能耗（千克标准煤/重量箱）＝</w:t>
      </w:r>
      <w:r>
        <w:rPr>
          <w:rFonts w:hint="eastAsia" w:ascii="宋体" w:hAnsi="宋体" w:cs="宋体"/>
          <w:szCs w:val="21"/>
        </w:rPr>
        <w:t>1000×平板玻璃综合能源消耗量（吨标准煤）/平板玻璃产量（重量箱）</w:t>
      </w:r>
    </w:p>
    <w:p>
      <w:pPr>
        <w:spacing w:line="360" w:lineRule="exact"/>
        <w:ind w:firstLine="420" w:firstLineChars="200"/>
        <w:rPr>
          <w:szCs w:val="21"/>
        </w:rPr>
      </w:pPr>
      <w:r>
        <w:rPr>
          <w:szCs w:val="21"/>
        </w:rPr>
        <w:t>分子项：平板玻璃综合能源消耗量。包括生产平板玻璃直接消耗的各种能源、辅助生产系统和附属生产系统消耗的一次能源和二次能源，以及需要分摊的企业内部亏损能源。不包括用于基本建设、生活福利设施等非工业生产所消耗的能源和回收利用的余能等。</w:t>
      </w:r>
    </w:p>
    <w:p>
      <w:pPr>
        <w:spacing w:line="360" w:lineRule="exact"/>
        <w:ind w:firstLine="420" w:firstLineChars="200"/>
        <w:rPr>
          <w:szCs w:val="21"/>
        </w:rPr>
      </w:pPr>
      <w:r>
        <w:rPr>
          <w:szCs w:val="21"/>
        </w:rPr>
        <w:t>分母项：平板玻璃产量。包括浮法、垂直引上、格法、平拉等各种生产工艺生产的平板玻璃。计量单位为重量箱。</w:t>
      </w:r>
    </w:p>
    <w:p>
      <w:pPr>
        <w:spacing w:line="360" w:lineRule="exact"/>
        <w:ind w:firstLine="420" w:firstLineChars="200"/>
        <w:rPr>
          <w:rFonts w:eastAsia="黑体"/>
          <w:szCs w:val="21"/>
        </w:rPr>
      </w:pPr>
      <w:r>
        <w:rPr>
          <w:rFonts w:eastAsia="黑体"/>
          <w:szCs w:val="21"/>
        </w:rPr>
        <w:t>每重量箱平板玻璃耗燃油</w:t>
      </w:r>
    </w:p>
    <w:p>
      <w:pPr>
        <w:spacing w:line="360" w:lineRule="exact"/>
        <w:ind w:left="1423" w:leftChars="206" w:hanging="990" w:hangingChars="500"/>
        <w:rPr>
          <w:rFonts w:ascii="宋体" w:hAnsi="宋体" w:cs="宋体"/>
          <w:spacing w:val="-6"/>
          <w:szCs w:val="21"/>
        </w:rPr>
      </w:pPr>
      <w:r>
        <w:rPr>
          <w:rFonts w:hint="eastAsia" w:ascii="宋体" w:hAnsi="宋体" w:cs="宋体"/>
          <w:spacing w:val="-6"/>
          <w:szCs w:val="21"/>
        </w:rPr>
        <w:t>计算公式：每重量箱平板玻璃耗燃油（千克/重量箱）＝1000×燃油消耗量（吨）/平板玻璃产量（重量箱）</w:t>
      </w:r>
    </w:p>
    <w:p>
      <w:pPr>
        <w:spacing w:line="360" w:lineRule="exact"/>
        <w:ind w:firstLine="420" w:firstLineChars="200"/>
        <w:rPr>
          <w:rFonts w:ascii="宋体" w:hAnsi="宋体" w:cs="宋体"/>
          <w:szCs w:val="21"/>
        </w:rPr>
      </w:pPr>
      <w:r>
        <w:rPr>
          <w:rFonts w:hint="eastAsia" w:ascii="宋体" w:hAnsi="宋体" w:cs="宋体"/>
          <w:szCs w:val="21"/>
        </w:rPr>
        <w:t>分子项：燃油消耗量。指生产平板玻璃的重油、煤焦油、燃料油的消耗量。</w:t>
      </w:r>
    </w:p>
    <w:p>
      <w:pPr>
        <w:spacing w:line="360" w:lineRule="exact"/>
        <w:ind w:firstLine="420" w:firstLineChars="200"/>
        <w:rPr>
          <w:rFonts w:ascii="宋体" w:hAnsi="宋体" w:cs="宋体"/>
          <w:szCs w:val="21"/>
        </w:rPr>
      </w:pPr>
      <w:r>
        <w:rPr>
          <w:rFonts w:hint="eastAsia" w:ascii="宋体" w:hAnsi="宋体" w:cs="宋体"/>
          <w:szCs w:val="21"/>
        </w:rPr>
        <w:t>分母项：平板玻璃产量。计量单位为重量箱。</w:t>
      </w:r>
    </w:p>
    <w:p>
      <w:pPr>
        <w:spacing w:line="360" w:lineRule="exact"/>
        <w:ind w:firstLine="420" w:firstLineChars="200"/>
        <w:rPr>
          <w:rFonts w:eastAsia="黑体"/>
          <w:szCs w:val="21"/>
        </w:rPr>
      </w:pPr>
      <w:r>
        <w:rPr>
          <w:rFonts w:eastAsia="黑体"/>
          <w:szCs w:val="21"/>
        </w:rPr>
        <w:t>每重量箱平板玻璃耗电</w:t>
      </w:r>
    </w:p>
    <w:p>
      <w:pPr>
        <w:spacing w:line="360" w:lineRule="exact"/>
        <w:ind w:left="5460" w:leftChars="200" w:hanging="5040" w:hangingChars="2400"/>
        <w:rPr>
          <w:rFonts w:ascii="宋体" w:hAnsi="宋体" w:cs="宋体"/>
          <w:szCs w:val="21"/>
        </w:rPr>
      </w:pPr>
      <w:r>
        <w:rPr>
          <w:szCs w:val="21"/>
        </w:rPr>
        <w:t>计算公式：</w:t>
      </w:r>
      <w:r>
        <w:rPr>
          <w:rFonts w:hint="eastAsia" w:ascii="宋体" w:hAnsi="宋体" w:cs="宋体"/>
          <w:szCs w:val="21"/>
        </w:rPr>
        <w:t>每重量箱平板玻璃耗电（千瓦时/重量箱）＝10000×电力消耗量（万千瓦时）/平板玻璃产量（重量箱）</w:t>
      </w:r>
    </w:p>
    <w:p>
      <w:pPr>
        <w:spacing w:line="360" w:lineRule="exact"/>
        <w:ind w:firstLine="420" w:firstLineChars="200"/>
        <w:rPr>
          <w:szCs w:val="21"/>
        </w:rPr>
      </w:pPr>
      <w:r>
        <w:rPr>
          <w:szCs w:val="21"/>
        </w:rPr>
        <w:t>分子项：电力消耗量。指生产平板玻璃时的生产用电，包括辅助、附属生产用电，以及厂区、车间、办公室、仓库照明用电。为多种生产服务的辅助、附属生产部门电力消耗，按其为生产平板玻璃服务的工作量进行分摊。分摊系数由企业自定。</w:t>
      </w:r>
    </w:p>
    <w:p>
      <w:pPr>
        <w:spacing w:line="360" w:lineRule="exact"/>
        <w:ind w:right="-38" w:firstLine="420"/>
        <w:rPr>
          <w:szCs w:val="21"/>
        </w:rPr>
      </w:pPr>
      <w:r>
        <w:rPr>
          <w:szCs w:val="21"/>
        </w:rPr>
        <w:t>分母项：平板玻璃产量。计量单位为重量箱。</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钢铁工业有关概念</w:t>
      </w:r>
    </w:p>
    <w:p>
      <w:pPr>
        <w:spacing w:line="360" w:lineRule="exact"/>
        <w:ind w:firstLine="420" w:firstLineChars="200"/>
        <w:rPr>
          <w:rFonts w:eastAsia="黑体"/>
          <w:szCs w:val="21"/>
        </w:rPr>
      </w:pPr>
      <w:r>
        <w:rPr>
          <w:rFonts w:eastAsia="黑体"/>
          <w:szCs w:val="21"/>
        </w:rPr>
        <w:t>钢铁工业生产</w:t>
      </w:r>
    </w:p>
    <w:p>
      <w:pPr>
        <w:spacing w:line="360" w:lineRule="exact"/>
        <w:ind w:firstLine="420" w:firstLineChars="200"/>
        <w:rPr>
          <w:szCs w:val="21"/>
        </w:rPr>
      </w:pPr>
      <w:r>
        <w:rPr>
          <w:szCs w:val="21"/>
        </w:rPr>
        <w:t>指铁、铬、锰等黑色金属矿物的采选、人造块矿、铁合金冶炼、炼铁、炼钢、钢加工、钢丝及其制品、焦炭、耐火材料制品、碳素制品和为钢铁工业生产服务的运输、机修、动力等生产。 钢铁产品主要有：生铁、粗钢、钢材，生产的主要原材料有：铁矿石及各种辅助原料矿及其成品矿、人造块矿、铁合金、洗煤、焦炭、焦炉煤气及煤化工产品、耐火材料制品、碳素制品等，钢铁制品主要有：钢丝、钢丝绳、钢绞线、铁丝、铁钉等。</w:t>
      </w:r>
    </w:p>
    <w:p>
      <w:pPr>
        <w:spacing w:line="360" w:lineRule="exact"/>
        <w:ind w:firstLine="420" w:firstLineChars="200"/>
        <w:rPr>
          <w:rFonts w:eastAsia="黑体"/>
          <w:szCs w:val="21"/>
        </w:rPr>
      </w:pPr>
      <w:r>
        <w:rPr>
          <w:rFonts w:eastAsia="黑体"/>
          <w:szCs w:val="21"/>
        </w:rPr>
        <w:t>企业钢铁工业生产中自耗能源</w:t>
      </w:r>
    </w:p>
    <w:p>
      <w:pPr>
        <w:spacing w:line="360" w:lineRule="exact"/>
        <w:ind w:firstLine="420" w:firstLineChars="200"/>
        <w:rPr>
          <w:szCs w:val="21"/>
        </w:rPr>
      </w:pPr>
      <w:r>
        <w:rPr>
          <w:szCs w:val="21"/>
        </w:rPr>
        <w:t>指报告期内钢铁工业生产直接消耗的各种能源及其辅助生产系统、直接为钢铁工业生产服务的附属生产系统实际消耗的各种能源，不包括非钢铁工业生产消耗的能源和外销能源。</w:t>
      </w:r>
    </w:p>
    <w:p>
      <w:pPr>
        <w:spacing w:line="360" w:lineRule="exact"/>
        <w:ind w:firstLine="420" w:firstLineChars="200"/>
        <w:rPr>
          <w:szCs w:val="21"/>
        </w:rPr>
      </w:pPr>
      <w:r>
        <w:rPr>
          <w:szCs w:val="21"/>
        </w:rPr>
        <w:t>企业钢铁工业生产中自耗能源量＝企业购入能源量＋期初库存量－期末库存量－非钢铁工业生产消耗的能源量－外销能源量＝企业钢铁工业生产各部位用能之和＋企业能源亏损量</w:t>
      </w:r>
    </w:p>
    <w:p>
      <w:pPr>
        <w:spacing w:line="360" w:lineRule="exact"/>
        <w:ind w:firstLine="420" w:firstLineChars="200"/>
        <w:rPr>
          <w:rFonts w:eastAsia="黑体"/>
          <w:szCs w:val="21"/>
        </w:rPr>
      </w:pPr>
      <w:r>
        <w:rPr>
          <w:rFonts w:eastAsia="黑体"/>
          <w:szCs w:val="21"/>
        </w:rPr>
        <w:t>企业外销能源量</w:t>
      </w:r>
    </w:p>
    <w:p>
      <w:pPr>
        <w:spacing w:line="360" w:lineRule="exact"/>
        <w:ind w:firstLine="420" w:firstLineChars="200"/>
        <w:rPr>
          <w:szCs w:val="21"/>
        </w:rPr>
      </w:pPr>
      <w:r>
        <w:rPr>
          <w:szCs w:val="21"/>
        </w:rPr>
        <w:t>指企业向外销售的购入能源、企业二次能源、下脚燃料及余热等。驻厂施工单位、独立核算的非工业生产单位和厂区（车间）以外的生活耗能（如服务公司、医院、学校、职工食堂等），凡有据可查的部分均可作为外销能源处理。</w:t>
      </w:r>
    </w:p>
    <w:p>
      <w:pPr>
        <w:spacing w:line="360" w:lineRule="exact"/>
        <w:ind w:firstLine="420" w:firstLineChars="200"/>
        <w:rPr>
          <w:rFonts w:eastAsia="黑体"/>
          <w:szCs w:val="21"/>
        </w:rPr>
      </w:pPr>
      <w:r>
        <w:rPr>
          <w:rFonts w:eastAsia="黑体"/>
          <w:szCs w:val="21"/>
        </w:rPr>
        <w:t>工序产品合格产出量</w:t>
      </w:r>
    </w:p>
    <w:p>
      <w:pPr>
        <w:spacing w:line="360" w:lineRule="exact"/>
        <w:ind w:firstLine="420" w:firstLineChars="200"/>
        <w:rPr>
          <w:szCs w:val="21"/>
        </w:rPr>
      </w:pPr>
      <w:r>
        <w:rPr>
          <w:szCs w:val="21"/>
        </w:rPr>
        <w:t>指企业某生产工序在报告期内生产、已结束本工序全部生产过程（不一定已结束本企业全部生产过程）、并符合产品质量要求的产品实物数量。包括订货者来料加工的产品，不包括委外加工生产的产品。</w:t>
      </w:r>
    </w:p>
    <w:p>
      <w:pPr>
        <w:spacing w:line="360" w:lineRule="exact"/>
        <w:ind w:firstLine="420" w:firstLineChars="200"/>
        <w:rPr>
          <w:rFonts w:eastAsia="黑体"/>
          <w:szCs w:val="21"/>
        </w:rPr>
      </w:pPr>
      <w:r>
        <w:rPr>
          <w:rFonts w:eastAsia="黑体"/>
          <w:szCs w:val="21"/>
        </w:rPr>
        <w:t>工序净耗能量</w:t>
      </w:r>
    </w:p>
    <w:p>
      <w:pPr>
        <w:spacing w:line="360" w:lineRule="exact"/>
        <w:ind w:firstLine="420" w:firstLineChars="200"/>
        <w:rPr>
          <w:szCs w:val="21"/>
        </w:rPr>
      </w:pPr>
      <w:r>
        <w:rPr>
          <w:szCs w:val="21"/>
        </w:rPr>
        <w:t>指企业内某工序（如铁矿采矿、铁矿选矿、人造块矿、炼铁、炼钢、钢加工、铁合金冶炼以及钢丝及其制品、焦炭、耐火材料制品、碳素制品生产）生产过程所消耗的各种能源量（包括主要生产系统、辅助生产系统以及直接为生产服务的附属生产系统所消耗的各种能源），扣除外供量。　</w:t>
      </w:r>
    </w:p>
    <w:p>
      <w:pPr>
        <w:spacing w:line="360" w:lineRule="exact"/>
        <w:ind w:firstLine="420" w:firstLineChars="200"/>
        <w:rPr>
          <w:szCs w:val="21"/>
        </w:rPr>
      </w:pPr>
      <w:r>
        <w:rPr>
          <w:szCs w:val="21"/>
        </w:rPr>
        <w:t>工序净耗能量＝工序内各种能源消耗量之和－工序内能源外供量之和</w:t>
      </w:r>
    </w:p>
    <w:p>
      <w:pPr>
        <w:spacing w:line="360" w:lineRule="exact"/>
        <w:ind w:firstLine="420" w:firstLineChars="200"/>
        <w:rPr>
          <w:rFonts w:eastAsia="黑体"/>
          <w:szCs w:val="21"/>
        </w:rPr>
      </w:pPr>
      <w:r>
        <w:rPr>
          <w:rFonts w:eastAsia="黑体"/>
          <w:szCs w:val="21"/>
        </w:rPr>
        <w:t>钢铁生产的耗能工质</w:t>
      </w:r>
    </w:p>
    <w:p>
      <w:pPr>
        <w:spacing w:line="360" w:lineRule="exact"/>
        <w:ind w:firstLine="420" w:firstLineChars="200"/>
        <w:rPr>
          <w:szCs w:val="21"/>
        </w:rPr>
      </w:pPr>
      <w:r>
        <w:rPr>
          <w:szCs w:val="21"/>
        </w:rPr>
        <w:t>钢铁工业生产各有关工序单位能耗计算中，通常包含耗能工质的消耗。主要包括：水、氩气、氮气、氧气、蒸汽、压缩空气。</w:t>
      </w:r>
    </w:p>
    <w:p>
      <w:pPr>
        <w:spacing w:line="360" w:lineRule="exact"/>
        <w:ind w:firstLine="420" w:firstLineChars="200"/>
        <w:rPr>
          <w:rFonts w:eastAsia="黑体"/>
          <w:szCs w:val="21"/>
        </w:rPr>
      </w:pPr>
      <w:r>
        <w:rPr>
          <w:rFonts w:eastAsia="黑体"/>
          <w:szCs w:val="21"/>
        </w:rPr>
        <w:t>有关产品、原材料、能源的折标准量系数</w:t>
      </w:r>
    </w:p>
    <w:p>
      <w:pPr>
        <w:spacing w:line="360" w:lineRule="exact"/>
        <w:ind w:firstLine="420" w:firstLineChars="200"/>
        <w:rPr>
          <w:szCs w:val="21"/>
        </w:rPr>
      </w:pPr>
      <w:r>
        <w:rPr>
          <w:szCs w:val="21"/>
        </w:rPr>
        <w:t>钢铁行业在计算工序单位能耗时，电力的折标系数按其热功当量折标系数</w:t>
      </w:r>
      <w:r>
        <w:rPr>
          <w:rFonts w:hint="eastAsia" w:ascii="宋体" w:hAnsi="宋体" w:cs="宋体"/>
          <w:szCs w:val="21"/>
        </w:rPr>
        <w:t>0.1229</w:t>
      </w:r>
      <w:r>
        <w:rPr>
          <w:szCs w:val="21"/>
        </w:rPr>
        <w:t>千克标准煤/千瓦时计算，蒸汽按其热功当量系数</w:t>
      </w:r>
      <w:r>
        <w:rPr>
          <w:rFonts w:hint="eastAsia" w:ascii="宋体" w:hAnsi="宋体" w:cs="宋体"/>
          <w:szCs w:val="21"/>
        </w:rPr>
        <w:t>0.03412</w:t>
      </w:r>
      <w:r>
        <w:rPr>
          <w:szCs w:val="21"/>
        </w:rPr>
        <w:t>千克标准煤</w:t>
      </w:r>
      <w:r>
        <w:rPr>
          <w:rFonts w:hint="eastAsia" w:ascii="宋体" w:hAnsi="宋体" w:cs="宋体"/>
          <w:szCs w:val="21"/>
        </w:rPr>
        <w:t>/</w:t>
      </w:r>
      <w:r>
        <w:rPr>
          <w:szCs w:val="21"/>
        </w:rPr>
        <w:t>百万焦耳折算；氧气、氮气、氩气、水、压缩空气按其等价热量折算（千克标准煤</w:t>
      </w:r>
      <w:r>
        <w:rPr>
          <w:rFonts w:hint="eastAsia" w:ascii="宋体" w:hAnsi="宋体" w:cs="宋体"/>
          <w:szCs w:val="21"/>
        </w:rPr>
        <w:t>/</w:t>
      </w:r>
      <w:r>
        <w:rPr>
          <w:szCs w:val="21"/>
        </w:rPr>
        <w:t xml:space="preserve">千克或立方米）；其他耗能介质的折标系数，有实测值的按实测值计算，没有实测值的按国家统计局公布的折标准煤参考系数计算。 </w:t>
      </w:r>
    </w:p>
    <w:p>
      <w:pPr>
        <w:spacing w:line="360" w:lineRule="exact"/>
        <w:ind w:firstLine="420" w:firstLineChars="200"/>
        <w:rPr>
          <w:szCs w:val="21"/>
        </w:rPr>
      </w:pPr>
      <w:r>
        <w:rPr>
          <w:szCs w:val="21"/>
        </w:rPr>
        <w:t>等价热量：指为得到一个单位的能量（或物质），在其生产过程中所消耗的热量。如压缩空气的等价热量：</w:t>
      </w:r>
    </w:p>
    <w:p>
      <w:pPr>
        <w:spacing w:line="360" w:lineRule="exact"/>
        <w:ind w:firstLine="420" w:firstLineChars="200"/>
        <w:rPr>
          <w:szCs w:val="21"/>
        </w:rPr>
      </w:pPr>
      <w:r>
        <w:rPr>
          <w:szCs w:val="21"/>
        </w:rPr>
        <w:t>压缩空气的等价热量（千克标准煤</w:t>
      </w:r>
      <w:r>
        <w:rPr>
          <w:rFonts w:hint="eastAsia" w:ascii="宋体" w:hAnsi="宋体" w:cs="宋体"/>
          <w:szCs w:val="21"/>
        </w:rPr>
        <w:t>/</w:t>
      </w:r>
      <w:r>
        <w:rPr>
          <w:szCs w:val="21"/>
        </w:rPr>
        <w:t>立方米）＝生产压缩空气能源自耗量（吨标准煤）</w:t>
      </w:r>
      <w:r>
        <w:rPr>
          <w:rFonts w:hint="eastAsia" w:ascii="宋体" w:hAnsi="宋体" w:cs="宋体"/>
          <w:szCs w:val="21"/>
        </w:rPr>
        <w:t>/</w:t>
      </w:r>
      <w:r>
        <w:rPr>
          <w:szCs w:val="21"/>
        </w:rPr>
        <w:t>压缩空气生</w:t>
      </w:r>
    </w:p>
    <w:p>
      <w:pPr>
        <w:spacing w:line="360" w:lineRule="exact"/>
        <w:ind w:firstLine="4674" w:firstLineChars="2226"/>
      </w:pPr>
      <w:r>
        <w:rPr>
          <w:szCs w:val="21"/>
        </w:rPr>
        <w:t>产量（立方米）</w:t>
      </w:r>
      <w:r>
        <w:rPr>
          <w:rFonts w:hint="eastAsia" w:ascii="宋体" w:hAnsi="宋体" w:cs="宋体"/>
          <w:szCs w:val="21"/>
        </w:rPr>
        <w:t>×1000</w:t>
      </w:r>
    </w:p>
    <w:p>
      <w:pPr>
        <w:pStyle w:val="10"/>
        <w:spacing w:line="360" w:lineRule="exact"/>
        <w:ind w:firstLine="420" w:firstLineChars="200"/>
        <w:rPr>
          <w:rFonts w:ascii="Times New Roman" w:hAnsi="Times New Roman" w:eastAsia="黑体" w:cs="Times New Roman"/>
          <w:bCs/>
        </w:rPr>
      </w:pPr>
    </w:p>
    <w:p>
      <w:pPr>
        <w:pStyle w:val="10"/>
        <w:spacing w:line="360" w:lineRule="exact"/>
        <w:ind w:firstLine="420" w:firstLineChars="200"/>
        <w:rPr>
          <w:rFonts w:ascii="Times New Roman" w:hAnsi="Times New Roman" w:eastAsia="黑体" w:cs="Times New Roman"/>
          <w:bCs/>
        </w:rPr>
      </w:pPr>
      <w:r>
        <w:rPr>
          <w:rFonts w:ascii="Times New Roman" w:hAnsi="Times New Roman" w:eastAsia="黑体" w:cs="Times New Roman"/>
          <w:bCs/>
        </w:rPr>
        <w:t>黑色金属（31）</w:t>
      </w:r>
    </w:p>
    <w:p>
      <w:pPr>
        <w:spacing w:line="360" w:lineRule="exact"/>
        <w:ind w:firstLine="420" w:firstLineChars="200"/>
        <w:rPr>
          <w:rFonts w:eastAsia="黑体"/>
          <w:szCs w:val="21"/>
        </w:rPr>
      </w:pPr>
      <w:r>
        <w:rPr>
          <w:rFonts w:eastAsia="黑体"/>
          <w:szCs w:val="21"/>
        </w:rPr>
        <w:t>吨钢综合能耗</w:t>
      </w:r>
    </w:p>
    <w:p>
      <w:pPr>
        <w:spacing w:line="360" w:lineRule="exact"/>
        <w:ind w:left="1396" w:leftChars="200" w:hanging="976" w:hangingChars="493"/>
        <w:rPr>
          <w:spacing w:val="-6"/>
          <w:szCs w:val="21"/>
        </w:rPr>
      </w:pPr>
      <w:r>
        <w:rPr>
          <w:spacing w:val="-6"/>
          <w:szCs w:val="21"/>
        </w:rPr>
        <w:t>计算公式：吨钢综合能耗（千克标准煤</w:t>
      </w:r>
      <w:r>
        <w:rPr>
          <w:rFonts w:hint="eastAsia" w:ascii="宋体" w:hAnsi="宋体" w:cs="宋体"/>
          <w:spacing w:val="-6"/>
          <w:szCs w:val="21"/>
        </w:rPr>
        <w:t>/</w:t>
      </w:r>
      <w:r>
        <w:rPr>
          <w:spacing w:val="-6"/>
          <w:szCs w:val="21"/>
        </w:rPr>
        <w:t>吨）＝</w:t>
      </w:r>
      <w:r>
        <w:rPr>
          <w:rFonts w:hint="eastAsia" w:ascii="宋体" w:hAnsi="宋体" w:cs="宋体"/>
          <w:spacing w:val="-6"/>
          <w:szCs w:val="21"/>
        </w:rPr>
        <w:t>1000×企业净耗能源量</w:t>
      </w:r>
      <w:r>
        <w:rPr>
          <w:spacing w:val="-6"/>
          <w:szCs w:val="21"/>
        </w:rPr>
        <w:t>（吨标准煤）</w:t>
      </w:r>
      <w:r>
        <w:rPr>
          <w:rFonts w:hint="eastAsia" w:ascii="宋体" w:hAnsi="宋体" w:cs="宋体"/>
          <w:spacing w:val="-6"/>
          <w:szCs w:val="21"/>
        </w:rPr>
        <w:t>/</w:t>
      </w:r>
      <w:r>
        <w:rPr>
          <w:spacing w:val="-6"/>
          <w:szCs w:val="21"/>
        </w:rPr>
        <w:t>粗钢合格产出量（吨）</w:t>
      </w:r>
    </w:p>
    <w:p>
      <w:pPr>
        <w:spacing w:line="360" w:lineRule="exact"/>
        <w:ind w:firstLine="420" w:firstLineChars="200"/>
        <w:rPr>
          <w:szCs w:val="21"/>
        </w:rPr>
      </w:pPr>
      <w:r>
        <w:rPr>
          <w:szCs w:val="21"/>
        </w:rPr>
        <w:t>分子项：企业净耗能源量。指报告期内钢铁工业生产直接消耗的各种能源及其辅助生产系统、直接为钢铁工业生产服务的附属生产系统实际消耗的各种能源总量，不包括非钢铁工业生产消耗的能源量和外销能源量。</w:t>
      </w:r>
    </w:p>
    <w:p>
      <w:pPr>
        <w:spacing w:line="360" w:lineRule="exact"/>
        <w:ind w:left="2158" w:leftChars="200" w:hanging="1738" w:hangingChars="828"/>
        <w:rPr>
          <w:szCs w:val="21"/>
        </w:rPr>
      </w:pPr>
      <w:r>
        <w:rPr>
          <w:szCs w:val="21"/>
        </w:rPr>
        <w:t>企业净耗能源量＝企业购入能源量</w:t>
      </w:r>
      <w:r>
        <w:rPr>
          <w:rFonts w:hint="eastAsia" w:ascii="宋体" w:hAnsi="宋体" w:cs="宋体"/>
          <w:szCs w:val="21"/>
        </w:rPr>
        <w:t>+</w:t>
      </w:r>
      <w:r>
        <w:rPr>
          <w:szCs w:val="21"/>
        </w:rPr>
        <w:t>期初库存量－期末库存量－非钢铁工业生产消耗的能源量－外销能源量</w:t>
      </w:r>
    </w:p>
    <w:p>
      <w:pPr>
        <w:spacing w:line="360" w:lineRule="exact"/>
        <w:ind w:firstLine="420" w:firstLineChars="200"/>
        <w:rPr>
          <w:szCs w:val="21"/>
        </w:rPr>
      </w:pPr>
      <w:r>
        <w:rPr>
          <w:szCs w:val="21"/>
        </w:rPr>
        <w:t>钢铁工业生产，指铁、铬、锰等黑色金属矿物的采选、人造块矿、铁合金冶炼、炼铁、炼钢、钢加工、钢丝及其制品、焦炭、耐火材料制品、碳素制品和为钢铁工业生产服务的运输、机修、动力等生产。在这些之外的生产活动为非钢铁工业生产。</w:t>
      </w:r>
    </w:p>
    <w:p>
      <w:pPr>
        <w:spacing w:line="360" w:lineRule="exact"/>
        <w:ind w:firstLine="420" w:firstLineChars="200"/>
        <w:rPr>
          <w:szCs w:val="21"/>
        </w:rPr>
      </w:pPr>
      <w:r>
        <w:rPr>
          <w:szCs w:val="21"/>
        </w:rPr>
        <w:t>企业外销能源量，指企业向外销售的购入能源、企业生产的二次能源、下脚燃料及余热等。驻厂施工单位、独立核算的非工业生产单位和厂区（车间）以外的生活耗能（如服务公司、医院、学校、职工食堂等），凡有据可查的部分均可作为外销能源处理。</w:t>
      </w:r>
    </w:p>
    <w:p>
      <w:pPr>
        <w:spacing w:line="360" w:lineRule="exact"/>
        <w:ind w:firstLine="420" w:firstLineChars="200"/>
        <w:rPr>
          <w:szCs w:val="21"/>
        </w:rPr>
      </w:pPr>
      <w:r>
        <w:rPr>
          <w:szCs w:val="21"/>
        </w:rPr>
        <w:t>分母项：粗钢合格产出量。指报告期内，企业完成了粗钢生产过程，并符合产品质量要求的模铸钢锭、连铸钢坯、铸造用液态钢（铸钢水）产出量之和，包括订货者来料加工生产的产品，不包括委外加工生产的产品。</w:t>
      </w:r>
    </w:p>
    <w:p>
      <w:pPr>
        <w:spacing w:line="360" w:lineRule="exact"/>
        <w:ind w:firstLine="420" w:firstLineChars="200"/>
        <w:rPr>
          <w:szCs w:val="21"/>
        </w:rPr>
      </w:pPr>
    </w:p>
    <w:p>
      <w:pPr>
        <w:spacing w:line="360" w:lineRule="exact"/>
        <w:ind w:firstLine="420" w:firstLineChars="200"/>
        <w:rPr>
          <w:rFonts w:eastAsia="黑体"/>
          <w:szCs w:val="21"/>
        </w:rPr>
      </w:pPr>
      <w:r>
        <w:rPr>
          <w:rFonts w:eastAsia="黑体"/>
          <w:szCs w:val="21"/>
        </w:rPr>
        <w:t>吨钢耗电</w:t>
      </w:r>
    </w:p>
    <w:p>
      <w:pPr>
        <w:spacing w:line="360" w:lineRule="exact"/>
        <w:ind w:left="3990" w:leftChars="200" w:hanging="3570" w:hangingChars="1700"/>
        <w:rPr>
          <w:szCs w:val="21"/>
        </w:rPr>
      </w:pPr>
      <w:r>
        <w:rPr>
          <w:szCs w:val="21"/>
        </w:rPr>
        <w:t>计算公式：吨钢耗电（千瓦时/吨）＝</w:t>
      </w:r>
      <w:r>
        <w:rPr>
          <w:rFonts w:hint="eastAsia" w:ascii="宋体" w:hAnsi="宋体" w:cs="宋体"/>
          <w:szCs w:val="21"/>
        </w:rPr>
        <w:t>10000×钢铁工业生产中净耗电总量（万千瓦时）/粗钢合格产出量（吨）</w:t>
      </w:r>
    </w:p>
    <w:p>
      <w:pPr>
        <w:spacing w:line="360" w:lineRule="exact"/>
        <w:ind w:firstLine="420" w:firstLineChars="200"/>
        <w:rPr>
          <w:szCs w:val="21"/>
        </w:rPr>
      </w:pPr>
      <w:r>
        <w:rPr>
          <w:szCs w:val="21"/>
        </w:rPr>
        <w:t>分子项：钢铁工业生产中净耗电总量。包括报告期内生产直接消耗的各种电力及其辅助生产系统实际消耗的各种电力，即企业净耗的全部电量。</w:t>
      </w:r>
    </w:p>
    <w:p>
      <w:pPr>
        <w:spacing w:line="360" w:lineRule="exact"/>
        <w:ind w:firstLine="420" w:firstLineChars="200"/>
        <w:rPr>
          <w:szCs w:val="21"/>
        </w:rPr>
      </w:pPr>
      <w:r>
        <w:rPr>
          <w:szCs w:val="21"/>
        </w:rPr>
        <w:t>分母项：粗钢合格产出量。说明同上。</w:t>
      </w:r>
    </w:p>
    <w:p>
      <w:pPr>
        <w:spacing w:line="360" w:lineRule="exact"/>
        <w:ind w:firstLine="420" w:firstLineChars="200"/>
        <w:rPr>
          <w:rFonts w:eastAsia="黑体"/>
          <w:szCs w:val="21"/>
        </w:rPr>
      </w:pPr>
      <w:r>
        <w:rPr>
          <w:rFonts w:eastAsia="黑体"/>
          <w:szCs w:val="21"/>
        </w:rPr>
        <w:t>吨钢耗新水</w:t>
      </w:r>
    </w:p>
    <w:p>
      <w:pPr>
        <w:spacing w:line="360" w:lineRule="exact"/>
        <w:ind w:firstLine="420" w:firstLineChars="200"/>
        <w:rPr>
          <w:szCs w:val="21"/>
        </w:rPr>
      </w:pPr>
      <w:r>
        <w:rPr>
          <w:szCs w:val="21"/>
        </w:rPr>
        <w:t>计算公式：吨钢耗新水（吨</w:t>
      </w:r>
      <w:r>
        <w:rPr>
          <w:rFonts w:hint="eastAsia" w:ascii="宋体" w:hAnsi="宋体" w:cs="宋体"/>
          <w:szCs w:val="21"/>
        </w:rPr>
        <w:t>/</w:t>
      </w:r>
      <w:r>
        <w:rPr>
          <w:szCs w:val="21"/>
        </w:rPr>
        <w:t>吨）＝企业耗用新水量（吨）</w:t>
      </w:r>
      <w:r>
        <w:rPr>
          <w:rFonts w:hint="eastAsia" w:ascii="宋体" w:hAnsi="宋体" w:cs="宋体"/>
          <w:szCs w:val="21"/>
        </w:rPr>
        <w:t>/</w:t>
      </w:r>
      <w:r>
        <w:rPr>
          <w:szCs w:val="21"/>
        </w:rPr>
        <w:t>粗钢合格产出量（吨）</w:t>
      </w:r>
    </w:p>
    <w:p>
      <w:pPr>
        <w:spacing w:line="360" w:lineRule="exact"/>
        <w:ind w:firstLine="420" w:firstLineChars="200"/>
        <w:rPr>
          <w:szCs w:val="21"/>
        </w:rPr>
      </w:pPr>
      <w:r>
        <w:rPr>
          <w:szCs w:val="21"/>
        </w:rPr>
        <w:t>分子项：企业耗用新水量。指企业报告期内用新鲜水量，即直接取自“自来水”、“地下水”、“地表水”及其他外购水及水产品的数量。</w:t>
      </w:r>
    </w:p>
    <w:p>
      <w:pPr>
        <w:spacing w:line="360" w:lineRule="exact"/>
        <w:ind w:firstLine="420" w:firstLineChars="200"/>
        <w:rPr>
          <w:szCs w:val="21"/>
        </w:rPr>
      </w:pPr>
      <w:r>
        <w:rPr>
          <w:szCs w:val="21"/>
        </w:rPr>
        <w:t>钢铁联合企业的普通钢厂或特殊钢厂的新水取水量（新水量）供给范围，包括主要生产（含烧结、球团、焦化、炼铁、炼钢、轧钢、金属制品等）、辅助生产（含鼓风机站、氧气站、石灰窑、空压站、锅炉房、机修、电修、检化验、运输等）和附属生产（含厂部、科室、绿化、厂内食堂、厂区和车间浴室、保健站、厕所等）；不包括企业电厂用于发电的取水量（含电厂自用的化学水）、矿山选矿用水和外供水量。</w:t>
      </w:r>
    </w:p>
    <w:p>
      <w:pPr>
        <w:spacing w:line="360" w:lineRule="exact"/>
        <w:ind w:firstLine="420" w:firstLineChars="200"/>
        <w:rPr>
          <w:szCs w:val="21"/>
        </w:rPr>
      </w:pPr>
      <w:r>
        <w:rPr>
          <w:szCs w:val="21"/>
        </w:rPr>
        <w:t>不产粗钢的企业可以选定自己的主产品，参照本指标计算“吨产品耗新水”。</w:t>
      </w:r>
    </w:p>
    <w:p>
      <w:pPr>
        <w:spacing w:line="360" w:lineRule="exact"/>
        <w:ind w:firstLine="420" w:firstLineChars="200"/>
        <w:rPr>
          <w:szCs w:val="21"/>
        </w:rPr>
      </w:pPr>
      <w:r>
        <w:rPr>
          <w:szCs w:val="21"/>
        </w:rPr>
        <w:t>分母项：粗钢合格产出量。说明同上。</w:t>
      </w:r>
    </w:p>
    <w:p>
      <w:pPr>
        <w:spacing w:line="360" w:lineRule="exact"/>
        <w:ind w:firstLine="420" w:firstLineChars="200"/>
        <w:rPr>
          <w:rFonts w:eastAsia="黑体"/>
          <w:szCs w:val="21"/>
        </w:rPr>
      </w:pPr>
      <w:r>
        <w:rPr>
          <w:rFonts w:eastAsia="黑体"/>
          <w:szCs w:val="21"/>
        </w:rPr>
        <w:t>铁矿烧结工序单位能耗</w:t>
      </w:r>
    </w:p>
    <w:p>
      <w:pPr>
        <w:spacing w:line="360" w:lineRule="exact"/>
        <w:ind w:left="5562" w:leftChars="192" w:hanging="5159" w:hangingChars="2457"/>
        <w:rPr>
          <w:szCs w:val="21"/>
        </w:rPr>
      </w:pPr>
      <w:r>
        <w:rPr>
          <w:szCs w:val="21"/>
        </w:rPr>
        <w:t>计算公式：铁矿烧结工序单位能耗（千克标准煤</w:t>
      </w:r>
      <w:r>
        <w:rPr>
          <w:rFonts w:hint="eastAsia" w:ascii="宋体" w:hAnsi="宋体" w:cs="宋体"/>
          <w:szCs w:val="21"/>
        </w:rPr>
        <w:t>/</w:t>
      </w:r>
      <w:r>
        <w:rPr>
          <w:szCs w:val="21"/>
        </w:rPr>
        <w:t>吨）＝</w:t>
      </w:r>
      <w:r>
        <w:rPr>
          <w:rFonts w:hint="eastAsia" w:ascii="宋体" w:hAnsi="宋体" w:cs="宋体"/>
          <w:szCs w:val="21"/>
        </w:rPr>
        <w:t>1000×烧结矿工序净耗能量 （吨标准煤）/烧结矿产出量（吨）</w:t>
      </w:r>
    </w:p>
    <w:p>
      <w:pPr>
        <w:spacing w:line="360" w:lineRule="exact"/>
        <w:ind w:firstLine="420" w:firstLineChars="200"/>
        <w:rPr>
          <w:szCs w:val="21"/>
        </w:rPr>
      </w:pPr>
      <w:r>
        <w:rPr>
          <w:szCs w:val="21"/>
        </w:rPr>
        <w:t>分子项：烧结矿工序净耗能量。包括配料中用的焦粉、煤粉，点火和焙烧中用的燃油、煤气（包括为保持水分稳定所进行的烘干作业所耗的煤气）和生产中用的电力等，扣除外供量。</w:t>
      </w:r>
    </w:p>
    <w:p>
      <w:pPr>
        <w:spacing w:line="360" w:lineRule="exact"/>
        <w:ind w:firstLine="420" w:firstLineChars="200"/>
        <w:rPr>
          <w:szCs w:val="21"/>
        </w:rPr>
      </w:pPr>
      <w:r>
        <w:rPr>
          <w:szCs w:val="21"/>
        </w:rPr>
        <w:t>分母项：烧结矿产出量。</w:t>
      </w:r>
    </w:p>
    <w:p>
      <w:pPr>
        <w:spacing w:line="360" w:lineRule="exact"/>
        <w:ind w:firstLine="420" w:firstLineChars="200"/>
        <w:rPr>
          <w:rFonts w:ascii="宋体" w:hAnsi="宋体" w:cs="宋体"/>
          <w:szCs w:val="21"/>
        </w:rPr>
      </w:pPr>
      <w:r>
        <w:rPr>
          <w:rFonts w:eastAsia="黑体"/>
          <w:szCs w:val="21"/>
        </w:rPr>
        <w:t>炼铁工序单位能耗</w:t>
      </w:r>
    </w:p>
    <w:p>
      <w:pPr>
        <w:spacing w:line="360" w:lineRule="exact"/>
        <w:ind w:left="5145" w:leftChars="200" w:hanging="4725" w:hangingChars="2250"/>
        <w:rPr>
          <w:rFonts w:ascii="宋体" w:hAnsi="宋体" w:cs="宋体"/>
          <w:szCs w:val="21"/>
        </w:rPr>
      </w:pPr>
      <w:r>
        <w:rPr>
          <w:rFonts w:hint="eastAsia" w:ascii="宋体" w:hAnsi="宋体" w:cs="宋体"/>
          <w:szCs w:val="21"/>
        </w:rPr>
        <w:t>计算公式：炼铁工序单位能耗（千克标准煤/吨）＝1000×炼铁工序净耗能量（吨标准煤）/生铁合格产出量（吨）</w:t>
      </w:r>
    </w:p>
    <w:p>
      <w:pPr>
        <w:spacing w:line="360" w:lineRule="exact"/>
        <w:ind w:firstLine="420" w:firstLineChars="200"/>
        <w:rPr>
          <w:szCs w:val="21"/>
        </w:rPr>
      </w:pPr>
      <w:r>
        <w:rPr>
          <w:szCs w:val="21"/>
        </w:rPr>
        <w:t>分子项：炼铁工序净耗能量。</w:t>
      </w:r>
    </w:p>
    <w:p>
      <w:pPr>
        <w:spacing w:line="360" w:lineRule="exact"/>
        <w:ind w:firstLine="420" w:firstLineChars="200"/>
        <w:rPr>
          <w:szCs w:val="21"/>
        </w:rPr>
      </w:pPr>
      <w:r>
        <w:rPr>
          <w:szCs w:val="21"/>
        </w:rPr>
        <w:t>炼铁工序净耗能量＝炼铁工序内各种能源消耗量之和－炼铁工序能源外供量之和</w:t>
      </w:r>
    </w:p>
    <w:p>
      <w:pPr>
        <w:spacing w:line="360" w:lineRule="exact"/>
        <w:ind w:firstLine="420" w:firstLineChars="200"/>
        <w:rPr>
          <w:szCs w:val="21"/>
        </w:rPr>
      </w:pPr>
      <w:r>
        <w:rPr>
          <w:szCs w:val="21"/>
        </w:rPr>
        <w:t>分母项：生铁合格产出量。</w:t>
      </w:r>
    </w:p>
    <w:p>
      <w:pPr>
        <w:spacing w:line="360" w:lineRule="exact"/>
        <w:ind w:firstLine="420" w:firstLineChars="200"/>
        <w:rPr>
          <w:rFonts w:eastAsia="黑体"/>
          <w:szCs w:val="21"/>
        </w:rPr>
      </w:pPr>
      <w:r>
        <w:rPr>
          <w:rFonts w:eastAsia="黑体"/>
          <w:szCs w:val="21"/>
        </w:rPr>
        <w:t>转炉炼钢综合工序单位能耗</w:t>
      </w:r>
    </w:p>
    <w:p>
      <w:pPr>
        <w:spacing w:line="360" w:lineRule="exact"/>
        <w:ind w:left="5880" w:leftChars="200" w:hanging="5460" w:hangingChars="2600"/>
        <w:rPr>
          <w:szCs w:val="21"/>
        </w:rPr>
      </w:pPr>
      <w:r>
        <w:rPr>
          <w:szCs w:val="21"/>
        </w:rPr>
        <w:t>计算公式：转炉炼钢综合工序单位能耗（千克标准煤</w:t>
      </w:r>
      <w:r>
        <w:rPr>
          <w:rFonts w:hint="eastAsia" w:ascii="宋体" w:hAnsi="宋体" w:cs="宋体"/>
          <w:szCs w:val="21"/>
        </w:rPr>
        <w:t>/</w:t>
      </w:r>
      <w:r>
        <w:rPr>
          <w:szCs w:val="21"/>
        </w:rPr>
        <w:t>吨）</w:t>
      </w:r>
      <w:r>
        <w:rPr>
          <w:rFonts w:hint="eastAsia" w:ascii="宋体" w:hAnsi="宋体" w:cs="宋体"/>
          <w:szCs w:val="21"/>
        </w:rPr>
        <w:t>＝1000×转炉炼钢综合工序净耗能量（吨标准煤）/</w:t>
      </w:r>
      <w:r>
        <w:rPr>
          <w:szCs w:val="21"/>
        </w:rPr>
        <w:t>转炉钢合格产出量（吨）</w:t>
      </w:r>
    </w:p>
    <w:p>
      <w:pPr>
        <w:spacing w:line="360" w:lineRule="exact"/>
        <w:ind w:firstLine="420" w:firstLineChars="200"/>
        <w:rPr>
          <w:szCs w:val="21"/>
        </w:rPr>
      </w:pPr>
      <w:r>
        <w:rPr>
          <w:szCs w:val="21"/>
        </w:rPr>
        <w:t>分子项：转炉炼钢综合工序净耗能量。指从原料进厂到钢锭、连铸钢坯、铸造用液态钢（铸钢水）出厂的整个炼钢工序过程，包括铁水预处理、转炉冶炼、二次冶金（精炼）、连铸和铸锭精整、产品出厂等全过程的能源消耗量，扣除炼钢工序外供能源量。</w:t>
      </w:r>
    </w:p>
    <w:p>
      <w:pPr>
        <w:spacing w:line="360" w:lineRule="exact"/>
        <w:ind w:firstLine="420" w:firstLineChars="200"/>
        <w:rPr>
          <w:szCs w:val="21"/>
        </w:rPr>
      </w:pPr>
      <w:r>
        <w:rPr>
          <w:szCs w:val="21"/>
        </w:rPr>
        <w:t>分母项：转炉钢合格产出量。</w:t>
      </w:r>
    </w:p>
    <w:p>
      <w:pPr>
        <w:spacing w:line="360" w:lineRule="exact"/>
        <w:ind w:firstLine="420" w:firstLineChars="200"/>
        <w:rPr>
          <w:rFonts w:eastAsia="黑体"/>
          <w:szCs w:val="21"/>
        </w:rPr>
      </w:pPr>
      <w:r>
        <w:rPr>
          <w:rFonts w:eastAsia="黑体"/>
          <w:szCs w:val="21"/>
        </w:rPr>
        <w:t>电炉炼钢综合工序单位能耗</w:t>
      </w:r>
    </w:p>
    <w:p>
      <w:pPr>
        <w:spacing w:line="360" w:lineRule="exact"/>
        <w:ind w:left="5880" w:leftChars="200" w:hanging="5460" w:hangingChars="2600"/>
        <w:rPr>
          <w:szCs w:val="21"/>
        </w:rPr>
      </w:pPr>
      <w:r>
        <w:rPr>
          <w:szCs w:val="21"/>
        </w:rPr>
        <w:t>计算公式：电炉炼钢综合工序单位能耗（千克标准煤</w:t>
      </w:r>
      <w:r>
        <w:rPr>
          <w:rFonts w:hint="eastAsia" w:ascii="宋体" w:hAnsi="宋体" w:cs="宋体"/>
          <w:szCs w:val="21"/>
        </w:rPr>
        <w:t>/</w:t>
      </w:r>
      <w:r>
        <w:rPr>
          <w:szCs w:val="21"/>
        </w:rPr>
        <w:t>吨）</w:t>
      </w:r>
      <w:r>
        <w:rPr>
          <w:rFonts w:hint="eastAsia" w:ascii="宋体" w:hAnsi="宋体" w:cs="宋体"/>
          <w:szCs w:val="21"/>
        </w:rPr>
        <w:t>＝1000×电炉炼钢综合工序净耗能量（吨标准煤）/电炉钢合格产出量（吨）</w:t>
      </w:r>
    </w:p>
    <w:p>
      <w:pPr>
        <w:spacing w:line="360" w:lineRule="exact"/>
        <w:ind w:firstLine="420" w:firstLineChars="200"/>
        <w:rPr>
          <w:szCs w:val="21"/>
        </w:rPr>
      </w:pPr>
      <w:r>
        <w:rPr>
          <w:szCs w:val="21"/>
        </w:rPr>
        <w:t>分子项：电炉炼钢综合工序净耗能量。指从原料进厂到钢锭、连铸钢坯、铸造用液态钢（铸钢水）出厂的整个炼钢工序过程，包括：废钢预热和处理、原材料的烘烤、干燥（包括石灰的二次烘烤、耐火材料及粉状材料的干燥、铁合金的烘烤等），电炉冶炼（包括熔炼、洗炉、液渣保护等），二次冶金（炉外精炼、炉外处理等），连铸和铸锭精整等的能源消耗量，不是仅指电炉冶炼。</w:t>
      </w:r>
    </w:p>
    <w:p>
      <w:pPr>
        <w:spacing w:line="360" w:lineRule="exact"/>
        <w:ind w:firstLine="420" w:firstLineChars="200"/>
        <w:rPr>
          <w:szCs w:val="21"/>
        </w:rPr>
      </w:pPr>
      <w:r>
        <w:rPr>
          <w:szCs w:val="21"/>
        </w:rPr>
        <w:t>分母项：电炉钢合格产出量。</w:t>
      </w:r>
    </w:p>
    <w:p>
      <w:pPr>
        <w:spacing w:line="360" w:lineRule="exact"/>
        <w:ind w:firstLine="420" w:firstLineChars="200"/>
        <w:rPr>
          <w:szCs w:val="21"/>
        </w:rPr>
      </w:pPr>
    </w:p>
    <w:p>
      <w:pPr>
        <w:spacing w:line="360" w:lineRule="exact"/>
        <w:ind w:firstLine="420" w:firstLineChars="200"/>
        <w:rPr>
          <w:rFonts w:eastAsia="黑体"/>
          <w:szCs w:val="21"/>
        </w:rPr>
      </w:pPr>
      <w:r>
        <w:rPr>
          <w:rFonts w:eastAsia="黑体"/>
          <w:szCs w:val="21"/>
        </w:rPr>
        <w:t>电炉炼钢综合电力消耗</w:t>
      </w:r>
    </w:p>
    <w:p>
      <w:pPr>
        <w:spacing w:line="360" w:lineRule="exact"/>
        <w:ind w:left="5040" w:leftChars="200" w:hanging="4620" w:hangingChars="2200"/>
        <w:rPr>
          <w:szCs w:val="21"/>
        </w:rPr>
      </w:pPr>
      <w:r>
        <w:rPr>
          <w:szCs w:val="21"/>
        </w:rPr>
        <w:t>计算公式：电炉炼钢综合电力消耗（千瓦时/吨）</w:t>
      </w:r>
      <w:r>
        <w:rPr>
          <w:rFonts w:hint="eastAsia" w:ascii="宋体" w:hAnsi="宋体" w:cs="宋体"/>
          <w:szCs w:val="21"/>
        </w:rPr>
        <w:t xml:space="preserve">＝10000×电炉炼钢综合电力净消耗量（万千瓦时）/电炉钢合格产出量（吨） </w:t>
      </w:r>
    </w:p>
    <w:p>
      <w:pPr>
        <w:spacing w:line="360" w:lineRule="exact"/>
        <w:ind w:firstLine="420" w:firstLineChars="200"/>
        <w:rPr>
          <w:szCs w:val="21"/>
        </w:rPr>
      </w:pPr>
      <w:r>
        <w:rPr>
          <w:szCs w:val="21"/>
        </w:rPr>
        <w:t>分子项：电炉炼钢综合电力净耗量。指从原料进厂到钢锭、连铸钢坯、铸造用液态钢（铸钢水）出厂的整个炼钢工序过程，包括：废钢预热和处理、原材料的烘烤、干燥（包括石灰的二次烘烤、耐火材料及粉状材料的干燥、铁合金的烘烤等），电炉冶炼（包括熔炼、洗炉、液渣保护等），二次冶金（炉外精炼、炉外处理等），连铸和铸锭精整等的电力消耗量，不是仅指电弧炉冶炼耗电。</w:t>
      </w:r>
    </w:p>
    <w:p>
      <w:pPr>
        <w:spacing w:line="360" w:lineRule="exact"/>
        <w:ind w:firstLine="420" w:firstLineChars="200"/>
        <w:rPr>
          <w:szCs w:val="21"/>
        </w:rPr>
      </w:pPr>
      <w:r>
        <w:rPr>
          <w:szCs w:val="21"/>
        </w:rPr>
        <w:t>分母项：电炉钢合格产出量。</w:t>
      </w:r>
    </w:p>
    <w:p>
      <w:pPr>
        <w:spacing w:line="360" w:lineRule="exact"/>
        <w:ind w:firstLine="420" w:firstLineChars="200"/>
        <w:rPr>
          <w:rFonts w:ascii="宋体" w:hAnsi="宋体" w:cs="宋体"/>
          <w:szCs w:val="21"/>
        </w:rPr>
      </w:pPr>
      <w:r>
        <w:rPr>
          <w:rFonts w:eastAsia="黑体"/>
          <w:szCs w:val="21"/>
        </w:rPr>
        <w:t>轧钢工序单位能耗</w:t>
      </w:r>
    </w:p>
    <w:p>
      <w:pPr>
        <w:spacing w:line="360" w:lineRule="exact"/>
        <w:ind w:left="5145" w:leftChars="200" w:hanging="4725" w:hangingChars="2250"/>
        <w:rPr>
          <w:rFonts w:ascii="宋体" w:hAnsi="宋体" w:cs="宋体"/>
          <w:szCs w:val="21"/>
        </w:rPr>
      </w:pPr>
      <w:r>
        <w:rPr>
          <w:rFonts w:hint="eastAsia" w:ascii="宋体" w:hAnsi="宋体" w:cs="宋体"/>
          <w:szCs w:val="21"/>
        </w:rPr>
        <w:t>计算公式：轧钢工序单位能耗（千克标准煤/吨）＝1000×轧钢工序净耗能量（吨标准煤）/企业最终钢材产品合格产出量（吨）</w:t>
      </w:r>
    </w:p>
    <w:p>
      <w:pPr>
        <w:spacing w:line="360" w:lineRule="exact"/>
        <w:ind w:firstLine="420" w:firstLineChars="200"/>
        <w:rPr>
          <w:szCs w:val="21"/>
        </w:rPr>
      </w:pPr>
      <w:r>
        <w:rPr>
          <w:szCs w:val="21"/>
        </w:rPr>
        <w:t>分子项：轧钢工序净耗能量。指包括热压延加工、冷压延加工、焊接加工、镀涂层加工等钢材生产的各个环节所消耗的净能量。</w:t>
      </w:r>
    </w:p>
    <w:p>
      <w:pPr>
        <w:spacing w:line="360" w:lineRule="exact"/>
        <w:ind w:firstLine="420" w:firstLineChars="200"/>
        <w:rPr>
          <w:szCs w:val="21"/>
        </w:rPr>
      </w:pPr>
      <w:r>
        <w:rPr>
          <w:szCs w:val="21"/>
        </w:rPr>
        <w:t>分母项：企业最终钢材产品合格产出量。轧钢包括的种类主要有：线材（盘条）、特厚板、厚钢板、中板、热轧薄板、冷轧薄板、中厚宽钢带、热轧薄宽钢带、冷轧薄宽钢带、热轧窄钢带、冷轧窄钢带等。</w:t>
      </w:r>
    </w:p>
    <w:p>
      <w:pPr>
        <w:spacing w:line="360" w:lineRule="exact"/>
        <w:ind w:firstLine="420" w:firstLineChars="200"/>
        <w:rPr>
          <w:rFonts w:eastAsia="黑体"/>
          <w:szCs w:val="21"/>
        </w:rPr>
      </w:pPr>
      <w:r>
        <w:rPr>
          <w:rFonts w:eastAsia="黑体"/>
          <w:szCs w:val="21"/>
        </w:rPr>
        <w:t>轧钢工序单位电力消耗</w:t>
      </w:r>
    </w:p>
    <w:p>
      <w:pPr>
        <w:spacing w:line="360" w:lineRule="exact"/>
        <w:ind w:left="5040" w:leftChars="180" w:hanging="4662" w:hangingChars="2220"/>
        <w:rPr>
          <w:szCs w:val="21"/>
        </w:rPr>
      </w:pPr>
      <w:r>
        <w:rPr>
          <w:szCs w:val="21"/>
        </w:rPr>
        <w:t>计算公式：轧钢工序单位电力消耗（千瓦时</w:t>
      </w:r>
      <w:r>
        <w:rPr>
          <w:rFonts w:hint="eastAsia" w:ascii="宋体" w:hAnsi="宋体" w:cs="宋体"/>
          <w:szCs w:val="21"/>
        </w:rPr>
        <w:t>/</w:t>
      </w:r>
      <w:r>
        <w:rPr>
          <w:szCs w:val="21"/>
        </w:rPr>
        <w:t>吨）</w:t>
      </w:r>
      <w:r>
        <w:rPr>
          <w:rFonts w:hint="eastAsia" w:ascii="宋体" w:hAnsi="宋体" w:cs="宋体"/>
          <w:szCs w:val="21"/>
        </w:rPr>
        <w:t>＝10000×轧钢工序电力净消耗量（万千瓦时）/ 企业最终钢材产品合格产出量（吨）</w:t>
      </w:r>
    </w:p>
    <w:p>
      <w:pPr>
        <w:spacing w:line="360" w:lineRule="exact"/>
        <w:ind w:firstLine="420" w:firstLineChars="200"/>
        <w:rPr>
          <w:szCs w:val="21"/>
        </w:rPr>
      </w:pPr>
      <w:r>
        <w:rPr>
          <w:szCs w:val="21"/>
        </w:rPr>
        <w:t>分子项：轧钢工序电力消耗量。指钢材生产过程的全部用电量，其中包括热处理、压缩空气、氮气、蒸汽、氢气、冷却水等介质系统的用电，但不包括大修理及非生产用电。</w:t>
      </w:r>
    </w:p>
    <w:p>
      <w:pPr>
        <w:spacing w:line="360" w:lineRule="exact"/>
        <w:ind w:firstLine="420" w:firstLineChars="200"/>
        <w:rPr>
          <w:szCs w:val="21"/>
        </w:rPr>
      </w:pPr>
      <w:r>
        <w:rPr>
          <w:szCs w:val="21"/>
        </w:rPr>
        <w:t>分母项：企业最终钢材产品合格产出量。轧钢类型同上。</w:t>
      </w:r>
    </w:p>
    <w:p>
      <w:pPr>
        <w:spacing w:line="360" w:lineRule="exact"/>
        <w:ind w:firstLine="420" w:firstLineChars="200"/>
        <w:rPr>
          <w:rFonts w:eastAsia="黑体"/>
          <w:szCs w:val="21"/>
        </w:rPr>
      </w:pPr>
      <w:r>
        <w:rPr>
          <w:rFonts w:eastAsia="黑体"/>
          <w:szCs w:val="21"/>
        </w:rPr>
        <w:t>硅铁工序单位能耗</w:t>
      </w:r>
    </w:p>
    <w:p>
      <w:pPr>
        <w:spacing w:line="360" w:lineRule="exact"/>
        <w:ind w:left="5565" w:leftChars="200" w:hanging="5145" w:hangingChars="2450"/>
        <w:rPr>
          <w:szCs w:val="21"/>
        </w:rPr>
      </w:pPr>
      <w:r>
        <w:rPr>
          <w:szCs w:val="21"/>
        </w:rPr>
        <w:t>计算公式：硅铁工序单位能耗（千克标准煤/标准吨）＝</w:t>
      </w:r>
      <w:r>
        <w:rPr>
          <w:rFonts w:hint="eastAsia" w:ascii="宋体" w:hAnsi="宋体" w:cs="宋体"/>
          <w:szCs w:val="21"/>
        </w:rPr>
        <w:t>1000×硅铁工序净耗能量（吨标准煤）/硅铁合格产品标准量（标准吨）</w:t>
      </w:r>
    </w:p>
    <w:p>
      <w:pPr>
        <w:spacing w:line="360" w:lineRule="exact"/>
        <w:ind w:firstLine="420" w:firstLineChars="200"/>
        <w:rPr>
          <w:szCs w:val="21"/>
        </w:rPr>
      </w:pPr>
      <w:r>
        <w:rPr>
          <w:szCs w:val="21"/>
        </w:rPr>
        <w:t>分子项：硅铁工序净耗能量。指硅铁工序中的能耗量。</w:t>
      </w:r>
    </w:p>
    <w:p>
      <w:pPr>
        <w:spacing w:line="360" w:lineRule="exact"/>
        <w:ind w:firstLine="420" w:firstLineChars="200"/>
        <w:rPr>
          <w:rFonts w:ascii="宋体" w:hAnsi="宋体" w:cs="宋体"/>
          <w:szCs w:val="21"/>
        </w:rPr>
      </w:pPr>
      <w:r>
        <w:rPr>
          <w:rFonts w:hint="eastAsia" w:ascii="宋体" w:hAnsi="宋体" w:cs="宋体"/>
          <w:szCs w:val="21"/>
        </w:rPr>
        <w:t>分母项：硅铁合格产品标准量。指硅铁按含硅75%的标准折算为标准吨。</w:t>
      </w:r>
    </w:p>
    <w:p>
      <w:pPr>
        <w:spacing w:line="360" w:lineRule="exact"/>
        <w:ind w:firstLine="420" w:firstLineChars="200"/>
        <w:rPr>
          <w:rFonts w:eastAsia="黑体"/>
          <w:szCs w:val="21"/>
        </w:rPr>
      </w:pPr>
      <w:r>
        <w:rPr>
          <w:rFonts w:eastAsia="黑体"/>
          <w:szCs w:val="21"/>
        </w:rPr>
        <w:t>硅铁单位电耗</w:t>
      </w:r>
    </w:p>
    <w:p>
      <w:pPr>
        <w:spacing w:line="360" w:lineRule="exact"/>
        <w:ind w:left="4725" w:leftChars="200" w:hanging="4305" w:hangingChars="2050"/>
        <w:rPr>
          <w:rFonts w:ascii="宋体" w:hAnsi="宋体" w:cs="宋体"/>
          <w:szCs w:val="21"/>
        </w:rPr>
      </w:pPr>
      <w:r>
        <w:rPr>
          <w:rFonts w:hint="eastAsia" w:ascii="宋体" w:hAnsi="宋体" w:cs="宋体"/>
          <w:szCs w:val="21"/>
        </w:rPr>
        <w:t>计算公式：硅铁单位电耗（千瓦时/标准吨）＝10000×硅铁冶炼总耗电量（万千瓦时）/ 硅铁合格产品标准量（标准吨）</w:t>
      </w:r>
    </w:p>
    <w:p>
      <w:pPr>
        <w:spacing w:line="360" w:lineRule="exact"/>
        <w:ind w:firstLine="420" w:firstLineChars="200"/>
        <w:rPr>
          <w:rFonts w:ascii="宋体" w:hAnsi="宋体" w:cs="宋体"/>
          <w:szCs w:val="21"/>
        </w:rPr>
      </w:pPr>
      <w:r>
        <w:rPr>
          <w:rFonts w:hint="eastAsia" w:ascii="宋体" w:hAnsi="宋体" w:cs="宋体"/>
          <w:szCs w:val="21"/>
        </w:rPr>
        <w:t>分子项：硅铁冶炼总耗电量。指硅铁工序中的电力消耗量，包括产品冶炼过程用电和生产时的烘炉用电、洗炉用电、动力用电、照明用电等。</w:t>
      </w:r>
    </w:p>
    <w:p>
      <w:pPr>
        <w:spacing w:line="360" w:lineRule="exact"/>
        <w:ind w:firstLine="420" w:firstLineChars="200"/>
        <w:rPr>
          <w:rFonts w:ascii="宋体" w:hAnsi="宋体" w:cs="宋体"/>
          <w:szCs w:val="21"/>
        </w:rPr>
      </w:pPr>
      <w:r>
        <w:rPr>
          <w:rFonts w:hint="eastAsia" w:ascii="宋体" w:hAnsi="宋体" w:cs="宋体"/>
          <w:szCs w:val="21"/>
        </w:rPr>
        <w:t>分母项：硅铁合格产品标准量。硅铁按含硅75%的标准折算为标准吨。</w:t>
      </w:r>
    </w:p>
    <w:p>
      <w:pPr>
        <w:spacing w:line="360" w:lineRule="exact"/>
        <w:ind w:firstLine="420" w:firstLineChars="200"/>
        <w:rPr>
          <w:rFonts w:ascii="宋体" w:hAnsi="宋体" w:cs="宋体"/>
          <w:szCs w:val="21"/>
        </w:rPr>
      </w:pPr>
    </w:p>
    <w:p>
      <w:pPr>
        <w:spacing w:line="360" w:lineRule="exact"/>
        <w:ind w:firstLine="420" w:firstLineChars="200"/>
        <w:rPr>
          <w:rFonts w:eastAsia="黑体"/>
          <w:szCs w:val="21"/>
        </w:rPr>
      </w:pPr>
      <w:r>
        <w:rPr>
          <w:rFonts w:eastAsia="黑体"/>
          <w:szCs w:val="21"/>
        </w:rPr>
        <w:t>锰硅合金工序单位能耗</w:t>
      </w:r>
    </w:p>
    <w:p>
      <w:pPr>
        <w:spacing w:line="360" w:lineRule="exact"/>
        <w:ind w:left="5773" w:leftChars="200" w:hanging="5353" w:hangingChars="2650"/>
        <w:rPr>
          <w:rFonts w:ascii="宋体" w:hAnsi="宋体" w:cs="宋体"/>
          <w:spacing w:val="-4"/>
          <w:szCs w:val="21"/>
        </w:rPr>
      </w:pPr>
      <w:r>
        <w:rPr>
          <w:rFonts w:hint="eastAsia" w:ascii="宋体" w:hAnsi="宋体" w:cs="宋体"/>
          <w:spacing w:val="-4"/>
          <w:szCs w:val="21"/>
        </w:rPr>
        <w:t>计算公式：锰硅合金工序单位能耗（千克标准煤/标准吨）＝1000×锰硅合金工序净耗能量（吨标准煤）/锰硅合金合格产品标准量（标准吨）</w:t>
      </w:r>
    </w:p>
    <w:p>
      <w:pPr>
        <w:spacing w:line="360" w:lineRule="exact"/>
        <w:ind w:firstLine="420" w:firstLineChars="200"/>
        <w:rPr>
          <w:rFonts w:ascii="宋体" w:hAnsi="宋体" w:cs="宋体"/>
          <w:szCs w:val="21"/>
        </w:rPr>
      </w:pPr>
      <w:r>
        <w:rPr>
          <w:rFonts w:hint="eastAsia" w:ascii="宋体" w:hAnsi="宋体" w:cs="宋体"/>
          <w:szCs w:val="21"/>
        </w:rPr>
        <w:t>分子项：锰硅合金工序净耗能量。指锰硅合金冶炼工序中的能耗量。</w:t>
      </w:r>
    </w:p>
    <w:p>
      <w:pPr>
        <w:spacing w:line="360" w:lineRule="exact"/>
        <w:ind w:firstLine="420" w:firstLineChars="200"/>
        <w:rPr>
          <w:szCs w:val="21"/>
        </w:rPr>
      </w:pPr>
      <w:r>
        <w:rPr>
          <w:rFonts w:hint="eastAsia" w:ascii="宋体" w:hAnsi="宋体" w:cs="宋体"/>
          <w:szCs w:val="21"/>
        </w:rPr>
        <w:t>分母项：锰硅合金合格产品标准量。锰硅合金按硅+锰＝82%的标准折算</w:t>
      </w:r>
      <w:r>
        <w:rPr>
          <w:szCs w:val="21"/>
        </w:rPr>
        <w:t>。</w:t>
      </w:r>
    </w:p>
    <w:p>
      <w:pPr>
        <w:spacing w:line="360" w:lineRule="exact"/>
        <w:ind w:firstLine="420" w:firstLineChars="200"/>
        <w:rPr>
          <w:rFonts w:eastAsia="黑体"/>
          <w:szCs w:val="21"/>
        </w:rPr>
      </w:pPr>
      <w:r>
        <w:rPr>
          <w:rFonts w:eastAsia="黑体"/>
          <w:szCs w:val="21"/>
        </w:rPr>
        <w:t>锰硅合金单位电耗</w:t>
      </w:r>
    </w:p>
    <w:p>
      <w:pPr>
        <w:spacing w:line="360" w:lineRule="exact"/>
        <w:ind w:left="5143" w:leftChars="207" w:hanging="4708" w:hangingChars="2242"/>
        <w:rPr>
          <w:rFonts w:ascii="宋体" w:hAnsi="宋体" w:cs="宋体"/>
          <w:szCs w:val="21"/>
        </w:rPr>
      </w:pPr>
      <w:r>
        <w:rPr>
          <w:rFonts w:hint="eastAsia" w:ascii="宋体" w:hAnsi="宋体" w:cs="宋体"/>
          <w:szCs w:val="21"/>
        </w:rPr>
        <w:t>计算公式：锰硅合金单位电耗（千瓦时/标准吨）＝10000×锰硅合金冶炼总耗电量（万千瓦时）/锰硅合金合格产品标准量（标准吨）</w:t>
      </w:r>
    </w:p>
    <w:p>
      <w:pPr>
        <w:spacing w:line="360" w:lineRule="exact"/>
        <w:ind w:firstLine="420" w:firstLineChars="200"/>
        <w:rPr>
          <w:rFonts w:ascii="宋体" w:hAnsi="宋体" w:cs="宋体"/>
          <w:szCs w:val="21"/>
        </w:rPr>
      </w:pPr>
      <w:r>
        <w:rPr>
          <w:rFonts w:hint="eastAsia" w:ascii="宋体" w:hAnsi="宋体" w:cs="宋体"/>
          <w:szCs w:val="21"/>
        </w:rPr>
        <w:t>分子项：锰硅合金冶炼总耗电量。指硅锰合金冶炼工序中电力消耗量。电力消耗量包括产品冶炼过程电和生产时的烘炉电、洗炉电、动力电、照明电等。</w:t>
      </w:r>
    </w:p>
    <w:p>
      <w:pPr>
        <w:spacing w:line="360" w:lineRule="exact"/>
        <w:ind w:firstLine="420" w:firstLineChars="200"/>
        <w:rPr>
          <w:rFonts w:ascii="宋体" w:hAnsi="宋体" w:cs="宋体"/>
        </w:rPr>
      </w:pPr>
      <w:r>
        <w:rPr>
          <w:rFonts w:hint="eastAsia" w:ascii="宋体" w:hAnsi="宋体" w:cs="宋体"/>
          <w:szCs w:val="21"/>
        </w:rPr>
        <w:t>分母项：锰硅合金合格产品标准量。锰硅合金按硅+锰＝82%的标准折算。</w:t>
      </w:r>
    </w:p>
    <w:p>
      <w:pPr>
        <w:pStyle w:val="10"/>
        <w:spacing w:line="360" w:lineRule="exact"/>
        <w:ind w:firstLine="420" w:firstLineChars="200"/>
        <w:rPr>
          <w:rFonts w:ascii="Times New Roman" w:hAnsi="Times New Roman" w:eastAsia="黑体" w:cs="Times New Roman"/>
          <w:bCs/>
        </w:rPr>
      </w:pPr>
    </w:p>
    <w:p>
      <w:pPr>
        <w:pStyle w:val="10"/>
        <w:spacing w:line="360" w:lineRule="exact"/>
        <w:ind w:firstLine="420" w:firstLineChars="200"/>
        <w:rPr>
          <w:rFonts w:ascii="Times New Roman" w:hAnsi="Times New Roman" w:eastAsia="黑体" w:cs="Times New Roman"/>
          <w:bCs/>
        </w:rPr>
      </w:pPr>
      <w:r>
        <w:rPr>
          <w:rFonts w:ascii="Times New Roman" w:hAnsi="Times New Roman" w:eastAsia="黑体" w:cs="Times New Roman"/>
          <w:bCs/>
        </w:rPr>
        <w:t>铜（32）</w:t>
      </w:r>
    </w:p>
    <w:p>
      <w:pPr>
        <w:spacing w:line="360" w:lineRule="exact"/>
        <w:ind w:firstLine="420" w:firstLineChars="200"/>
        <w:rPr>
          <w:rFonts w:eastAsia="黑体"/>
          <w:szCs w:val="21"/>
        </w:rPr>
      </w:pPr>
      <w:r>
        <w:rPr>
          <w:rFonts w:eastAsia="黑体"/>
          <w:szCs w:val="21"/>
        </w:rPr>
        <w:t>单位粗铜综合能耗</w:t>
      </w:r>
    </w:p>
    <w:p>
      <w:pPr>
        <w:spacing w:line="360" w:lineRule="exact"/>
        <w:ind w:left="5145" w:leftChars="200" w:hanging="4725" w:hangingChars="2250"/>
        <w:rPr>
          <w:rFonts w:ascii="宋体" w:hAnsi="宋体" w:cs="宋体"/>
          <w:szCs w:val="21"/>
        </w:rPr>
      </w:pPr>
      <w:r>
        <w:rPr>
          <w:rFonts w:hint="eastAsia" w:ascii="宋体" w:hAnsi="宋体" w:cs="宋体"/>
          <w:szCs w:val="21"/>
        </w:rPr>
        <w:t>计算公式：单位粗铜综合能耗（千克标准煤/吨）＝1000×矿产粗铜综合能源消费量（吨标准煤）/矿产粗铜产量（吨）</w:t>
      </w:r>
    </w:p>
    <w:p>
      <w:pPr>
        <w:spacing w:line="360" w:lineRule="exact"/>
        <w:ind w:firstLine="420" w:firstLineChars="200"/>
        <w:rPr>
          <w:rFonts w:ascii="宋体" w:hAnsi="宋体" w:cs="宋体"/>
          <w:szCs w:val="21"/>
        </w:rPr>
      </w:pPr>
      <w:r>
        <w:rPr>
          <w:rFonts w:hint="eastAsia" w:ascii="宋体" w:hAnsi="宋体" w:cs="宋体"/>
          <w:szCs w:val="21"/>
        </w:rPr>
        <w:t>分子项：矿产粗铜综合能源消费量。指从处理铜精矿到产出粗铜所消耗的能源总量。</w:t>
      </w:r>
    </w:p>
    <w:p>
      <w:pPr>
        <w:spacing w:line="360" w:lineRule="exact"/>
        <w:ind w:firstLine="420" w:firstLineChars="200"/>
        <w:rPr>
          <w:rFonts w:ascii="宋体" w:hAnsi="宋体" w:cs="宋体"/>
          <w:szCs w:val="21"/>
        </w:rPr>
      </w:pPr>
      <w:r>
        <w:rPr>
          <w:rFonts w:hint="eastAsia" w:ascii="宋体" w:hAnsi="宋体" w:cs="宋体"/>
          <w:szCs w:val="21"/>
        </w:rPr>
        <w:t>分母项：矿产粗铜产量。指合格入库产量。</w:t>
      </w:r>
    </w:p>
    <w:p>
      <w:pPr>
        <w:spacing w:line="360" w:lineRule="exact"/>
        <w:ind w:firstLine="420" w:firstLineChars="200"/>
        <w:rPr>
          <w:rFonts w:eastAsia="黑体"/>
          <w:szCs w:val="21"/>
        </w:rPr>
      </w:pPr>
      <w:r>
        <w:rPr>
          <w:rFonts w:eastAsia="黑体"/>
          <w:szCs w:val="21"/>
        </w:rPr>
        <w:t>铜精炼综合能耗</w:t>
      </w:r>
    </w:p>
    <w:p>
      <w:pPr>
        <w:spacing w:line="360" w:lineRule="exact"/>
        <w:ind w:left="4933" w:leftChars="187" w:hanging="4540" w:hangingChars="2162"/>
        <w:rPr>
          <w:rFonts w:ascii="宋体" w:hAnsi="宋体" w:cs="宋体"/>
          <w:szCs w:val="21"/>
        </w:rPr>
      </w:pPr>
      <w:r>
        <w:rPr>
          <w:rFonts w:hint="eastAsia" w:ascii="宋体" w:hAnsi="宋体" w:cs="宋体"/>
          <w:szCs w:val="21"/>
        </w:rPr>
        <w:t>计算公式：铜精炼综合能耗（千克标准煤/吨）＝1000×粗铜到精炼铜消耗的能源总量（吨标准煤）/精炼铜（电解铜）产量（吨）</w:t>
      </w:r>
    </w:p>
    <w:p>
      <w:pPr>
        <w:spacing w:line="360" w:lineRule="exact"/>
        <w:ind w:firstLine="420" w:firstLineChars="200"/>
        <w:rPr>
          <w:szCs w:val="21"/>
        </w:rPr>
      </w:pPr>
      <w:r>
        <w:rPr>
          <w:szCs w:val="21"/>
        </w:rPr>
        <w:t>分子项：粗铜到精炼铜（电解铜）消耗的能源总量。指从投入粗铜开始到产出精炼铜（电解铜）的生产过程中消耗的能源量。</w:t>
      </w:r>
    </w:p>
    <w:p>
      <w:pPr>
        <w:spacing w:line="360" w:lineRule="exact"/>
        <w:ind w:firstLine="420" w:firstLineChars="200"/>
        <w:rPr>
          <w:szCs w:val="21"/>
        </w:rPr>
      </w:pPr>
      <w:r>
        <w:rPr>
          <w:szCs w:val="21"/>
        </w:rPr>
        <w:t>分母项：精炼铜（电解铜）产量。指合格入库产量。包括以铜精矿作原料经电解生产的矿产阴极铜（也叫矿产铜）、以铜废料作原料经电解生产的再生铜（杂产铜）、以购买的粗铜和阳极铜作原料经电解生产的精炼铜和湿法冶炼生产的电极铜。</w:t>
      </w:r>
    </w:p>
    <w:p>
      <w:pPr>
        <w:spacing w:line="360" w:lineRule="exact"/>
        <w:ind w:firstLine="420" w:firstLineChars="200"/>
        <w:rPr>
          <w:rFonts w:eastAsia="黑体"/>
          <w:szCs w:val="21"/>
        </w:rPr>
      </w:pPr>
      <w:r>
        <w:rPr>
          <w:rFonts w:eastAsia="黑体"/>
          <w:szCs w:val="21"/>
        </w:rPr>
        <w:t>单位铜冶炼综合能耗</w:t>
      </w:r>
    </w:p>
    <w:p>
      <w:pPr>
        <w:spacing w:line="360" w:lineRule="exact"/>
        <w:ind w:left="5355" w:leftChars="200" w:hanging="4935" w:hangingChars="2350"/>
        <w:rPr>
          <w:rFonts w:ascii="宋体" w:hAnsi="宋体" w:cs="宋体"/>
          <w:szCs w:val="21"/>
        </w:rPr>
      </w:pPr>
      <w:r>
        <w:rPr>
          <w:szCs w:val="21"/>
        </w:rPr>
        <w:t>计算公式：单位铜冶炼综合能耗（千克标准煤</w:t>
      </w:r>
      <w:r>
        <w:rPr>
          <w:rFonts w:hint="eastAsia" w:ascii="宋体" w:hAnsi="宋体" w:cs="宋体"/>
          <w:szCs w:val="21"/>
        </w:rPr>
        <w:t>/</w:t>
      </w:r>
      <w:r>
        <w:rPr>
          <w:szCs w:val="21"/>
        </w:rPr>
        <w:t>吨）＝</w:t>
      </w:r>
      <w:r>
        <w:rPr>
          <w:rFonts w:hint="eastAsia" w:ascii="宋体" w:hAnsi="宋体" w:cs="宋体"/>
          <w:szCs w:val="21"/>
        </w:rPr>
        <w:t>1000×铜冶炼各工序综合能源消费量（吨标准煤）/精炼铜（电解铜）产量（吨）</w:t>
      </w:r>
    </w:p>
    <w:p>
      <w:pPr>
        <w:spacing w:line="360" w:lineRule="exact"/>
        <w:ind w:firstLine="420" w:firstLineChars="200"/>
        <w:rPr>
          <w:szCs w:val="21"/>
        </w:rPr>
      </w:pPr>
      <w:r>
        <w:rPr>
          <w:szCs w:val="21"/>
        </w:rPr>
        <w:t>分子项：铜冶炼各工序综合能源消费量。指从处理铜精矿等物料到产出精炼铜（电解铜）的过程中所消耗的各类能源总量。</w:t>
      </w:r>
    </w:p>
    <w:p>
      <w:pPr>
        <w:spacing w:line="360" w:lineRule="exact"/>
        <w:ind w:firstLine="420" w:firstLineChars="200"/>
        <w:rPr>
          <w:szCs w:val="21"/>
        </w:rPr>
      </w:pPr>
      <w:r>
        <w:rPr>
          <w:szCs w:val="21"/>
        </w:rPr>
        <w:t>分母项：精炼铜（电解铜）产量。说明同上。</w:t>
      </w:r>
    </w:p>
    <w:p>
      <w:pPr>
        <w:spacing w:line="360" w:lineRule="exact"/>
        <w:ind w:firstLine="420" w:firstLineChars="200"/>
        <w:rPr>
          <w:rFonts w:eastAsia="黑体"/>
          <w:szCs w:val="21"/>
        </w:rPr>
      </w:pPr>
      <w:r>
        <w:rPr>
          <w:rFonts w:eastAsia="黑体"/>
          <w:szCs w:val="21"/>
        </w:rPr>
        <w:t>铜电解直流电单耗</w:t>
      </w:r>
    </w:p>
    <w:p>
      <w:pPr>
        <w:spacing w:line="360" w:lineRule="exact"/>
        <w:ind w:left="4725" w:leftChars="200" w:hanging="4305" w:hangingChars="2050"/>
        <w:rPr>
          <w:rFonts w:ascii="宋体" w:hAnsi="宋体" w:cs="宋体"/>
          <w:szCs w:val="21"/>
        </w:rPr>
      </w:pPr>
      <w:r>
        <w:rPr>
          <w:szCs w:val="21"/>
        </w:rPr>
        <w:t>计算公式：铜电解直流电单耗（千瓦时</w:t>
      </w:r>
      <w:r>
        <w:rPr>
          <w:rFonts w:hint="eastAsia" w:ascii="宋体" w:hAnsi="宋体" w:cs="宋体"/>
          <w:szCs w:val="21"/>
        </w:rPr>
        <w:t>/</w:t>
      </w:r>
      <w:r>
        <w:rPr>
          <w:szCs w:val="21"/>
        </w:rPr>
        <w:t>吨）</w:t>
      </w:r>
      <w:r>
        <w:rPr>
          <w:rFonts w:hint="eastAsia" w:ascii="宋体" w:hAnsi="宋体" w:cs="宋体"/>
          <w:szCs w:val="21"/>
        </w:rPr>
        <w:t>＝10000×精炼铜（电解铜）消耗的直流电量（万千瓦时）/精炼铜（电解铜）产量（吨）</w:t>
      </w:r>
    </w:p>
    <w:p>
      <w:pPr>
        <w:spacing w:line="360" w:lineRule="exact"/>
        <w:ind w:firstLine="420" w:firstLineChars="200"/>
        <w:rPr>
          <w:szCs w:val="21"/>
        </w:rPr>
      </w:pPr>
      <w:r>
        <w:rPr>
          <w:szCs w:val="21"/>
        </w:rPr>
        <w:t>分子项：精炼铜（电解铜）消耗的直流电量。包括线路损失量和始极片耗电量。</w:t>
      </w:r>
    </w:p>
    <w:p>
      <w:pPr>
        <w:spacing w:line="360" w:lineRule="exact"/>
        <w:ind w:firstLine="420" w:firstLineChars="200"/>
        <w:rPr>
          <w:rFonts w:eastAsia="黑体"/>
          <w:bCs/>
          <w:szCs w:val="21"/>
        </w:rPr>
      </w:pPr>
      <w:r>
        <w:rPr>
          <w:szCs w:val="21"/>
        </w:rPr>
        <w:t>分母项：精炼铜（电解铜）产量。说明同上。</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铝（32）</w:t>
      </w:r>
    </w:p>
    <w:p>
      <w:pPr>
        <w:spacing w:line="360" w:lineRule="exact"/>
        <w:ind w:firstLine="420" w:firstLineChars="200"/>
        <w:rPr>
          <w:rFonts w:eastAsia="黑体"/>
          <w:szCs w:val="21"/>
        </w:rPr>
      </w:pPr>
      <w:r>
        <w:rPr>
          <w:rFonts w:eastAsia="黑体"/>
          <w:szCs w:val="21"/>
        </w:rPr>
        <w:t>单位氧化铝综合能耗</w:t>
      </w:r>
    </w:p>
    <w:p>
      <w:pPr>
        <w:spacing w:line="360" w:lineRule="exact"/>
        <w:ind w:left="5355" w:leftChars="200" w:hanging="4935" w:hangingChars="2350"/>
        <w:rPr>
          <w:rFonts w:ascii="宋体" w:hAnsi="宋体" w:cs="宋体"/>
          <w:szCs w:val="21"/>
        </w:rPr>
      </w:pPr>
      <w:r>
        <w:rPr>
          <w:szCs w:val="21"/>
        </w:rPr>
        <w:t>计算公式：单位氧化铝综合能耗（千克标准煤</w:t>
      </w:r>
      <w:r>
        <w:rPr>
          <w:rFonts w:hint="eastAsia" w:ascii="宋体" w:hAnsi="宋体" w:cs="宋体"/>
          <w:szCs w:val="21"/>
        </w:rPr>
        <w:t>/</w:t>
      </w:r>
      <w:r>
        <w:rPr>
          <w:szCs w:val="21"/>
        </w:rPr>
        <w:t>吨）＝</w:t>
      </w:r>
      <w:r>
        <w:rPr>
          <w:rFonts w:hint="eastAsia" w:ascii="宋体" w:hAnsi="宋体" w:cs="宋体"/>
          <w:szCs w:val="21"/>
        </w:rPr>
        <w:t>1000×氧化铝生产综合能源消费量（吨标准煤）/实产氧化铝产量（吨）</w:t>
      </w:r>
    </w:p>
    <w:p>
      <w:pPr>
        <w:spacing w:line="360" w:lineRule="exact"/>
        <w:ind w:firstLine="420" w:firstLineChars="200"/>
        <w:rPr>
          <w:szCs w:val="21"/>
        </w:rPr>
      </w:pPr>
      <w:r>
        <w:rPr>
          <w:szCs w:val="21"/>
        </w:rPr>
        <w:t>分子项：氧化铝生产综合能源消费量。包括氧化铝工艺用能和间接能源消耗。氧化铝工艺用能，指生产氧化铝所直接消耗的各项能源，包括煤、油、焦、汽、电、煤气、汽油、柴油等消耗；间接能源消耗，指企业辅助、附属部门能耗分摊量、能源转换损耗分摊量和企业内部能源正常损耗量。</w:t>
      </w:r>
    </w:p>
    <w:p>
      <w:pPr>
        <w:spacing w:line="360" w:lineRule="exact"/>
        <w:ind w:firstLine="436" w:firstLineChars="200"/>
        <w:rPr>
          <w:spacing w:val="4"/>
          <w:szCs w:val="21"/>
        </w:rPr>
      </w:pPr>
      <w:r>
        <w:rPr>
          <w:spacing w:val="4"/>
          <w:szCs w:val="21"/>
        </w:rPr>
        <w:t>分母项：实产氧化铝产量。包括冶金级氧化铝（指生产电解铝的原料）和化学品级氧化铝（折合量），如氢氧化铝系列商品折合量（普通氢氧化铝、特种氢氧化铝、白色氢氧化铝填料氢氧化铝等）、氧化铝系列折合量（煅烧氧化铝、助燃剂用低温氧化铝、电工填料氧化铝等）、拟薄水铝石系列折合量等。</w:t>
      </w:r>
    </w:p>
    <w:p>
      <w:pPr>
        <w:spacing w:line="360" w:lineRule="exact"/>
        <w:ind w:firstLine="420" w:firstLineChars="200"/>
        <w:rPr>
          <w:rFonts w:eastAsia="黑体"/>
          <w:szCs w:val="21"/>
        </w:rPr>
      </w:pPr>
      <w:r>
        <w:rPr>
          <w:rFonts w:eastAsia="黑体"/>
          <w:szCs w:val="21"/>
        </w:rPr>
        <w:t>单位电解铝综合能耗</w:t>
      </w:r>
    </w:p>
    <w:p>
      <w:pPr>
        <w:spacing w:line="360" w:lineRule="exact"/>
        <w:ind w:left="5302" w:leftChars="211" w:hanging="4859" w:hangingChars="2314"/>
        <w:rPr>
          <w:rFonts w:ascii="宋体" w:hAnsi="宋体" w:cs="宋体"/>
          <w:szCs w:val="21"/>
        </w:rPr>
      </w:pPr>
      <w:r>
        <w:rPr>
          <w:szCs w:val="21"/>
        </w:rPr>
        <w:t>计算公式：单位电解铝综合能耗（千克标准煤</w:t>
      </w:r>
      <w:r>
        <w:rPr>
          <w:rFonts w:hint="eastAsia" w:ascii="宋体" w:hAnsi="宋体" w:cs="宋体"/>
          <w:szCs w:val="21"/>
        </w:rPr>
        <w:t>/</w:t>
      </w:r>
      <w:r>
        <w:rPr>
          <w:szCs w:val="21"/>
        </w:rPr>
        <w:t>吨）＝</w:t>
      </w:r>
      <w:r>
        <w:rPr>
          <w:rFonts w:hint="eastAsia" w:ascii="宋体" w:hAnsi="宋体" w:cs="宋体"/>
          <w:szCs w:val="21"/>
        </w:rPr>
        <w:t>1000×全厂综合能源消费量（吨标准煤）/合格交库的电解铝产量（吨）</w:t>
      </w:r>
    </w:p>
    <w:p>
      <w:pPr>
        <w:spacing w:line="360" w:lineRule="exact"/>
        <w:ind w:firstLine="420" w:firstLineChars="200"/>
        <w:rPr>
          <w:szCs w:val="21"/>
        </w:rPr>
      </w:pPr>
      <w:r>
        <w:rPr>
          <w:szCs w:val="21"/>
        </w:rPr>
        <w:t>分子项：全厂综合能源消费量。包括电解铝工艺能耗总量（直接消耗），辅助和附属部门消耗的柴油、汽油、蒸汽。</w:t>
      </w:r>
    </w:p>
    <w:p>
      <w:pPr>
        <w:spacing w:line="360" w:lineRule="exact"/>
        <w:ind w:firstLine="420" w:firstLineChars="200"/>
        <w:rPr>
          <w:szCs w:val="21"/>
        </w:rPr>
      </w:pPr>
      <w:r>
        <w:rPr>
          <w:szCs w:val="21"/>
        </w:rPr>
        <w:t>分母项：合格交库的电解铝产量。说明同上。</w:t>
      </w:r>
    </w:p>
    <w:p>
      <w:pPr>
        <w:spacing w:line="360" w:lineRule="exact"/>
        <w:ind w:firstLine="420" w:firstLineChars="200"/>
        <w:rPr>
          <w:szCs w:val="21"/>
        </w:rPr>
      </w:pPr>
      <w:r>
        <w:rPr>
          <w:rFonts w:eastAsia="黑体"/>
          <w:bCs/>
          <w:szCs w:val="21"/>
        </w:rPr>
        <w:t>单位铝锭综合交流电耗</w:t>
      </w:r>
      <w:r>
        <w:rPr>
          <w:bCs/>
          <w:szCs w:val="21"/>
        </w:rPr>
        <w:t xml:space="preserve"> </w:t>
      </w:r>
    </w:p>
    <w:p>
      <w:pPr>
        <w:spacing w:line="360" w:lineRule="exact"/>
        <w:ind w:left="5145" w:leftChars="200" w:hanging="4725" w:hangingChars="2250"/>
        <w:rPr>
          <w:rFonts w:ascii="宋体" w:hAnsi="宋体" w:cs="宋体"/>
          <w:bCs/>
          <w:szCs w:val="21"/>
        </w:rPr>
      </w:pPr>
      <w:r>
        <w:rPr>
          <w:szCs w:val="21"/>
        </w:rPr>
        <w:t>计算公式：单位铝锭综合交流电耗（千瓦时</w:t>
      </w:r>
      <w:r>
        <w:rPr>
          <w:rFonts w:hint="eastAsia" w:ascii="宋体" w:hAnsi="宋体" w:cs="宋体"/>
          <w:szCs w:val="21"/>
        </w:rPr>
        <w:t>/</w:t>
      </w:r>
      <w:r>
        <w:rPr>
          <w:szCs w:val="21"/>
        </w:rPr>
        <w:t>吨）＝</w:t>
      </w:r>
      <w:r>
        <w:rPr>
          <w:rFonts w:hint="eastAsia" w:ascii="宋体" w:hAnsi="宋体" w:cs="宋体"/>
          <w:szCs w:val="21"/>
        </w:rPr>
        <w:t>10000×铝锭交流电消耗总量（万千瓦时）/合格交库的铝锭产量（吨）</w:t>
      </w:r>
    </w:p>
    <w:p>
      <w:pPr>
        <w:spacing w:line="360" w:lineRule="exact"/>
        <w:ind w:firstLine="420" w:firstLineChars="200"/>
        <w:rPr>
          <w:bCs/>
          <w:szCs w:val="21"/>
        </w:rPr>
      </w:pPr>
      <w:r>
        <w:rPr>
          <w:bCs/>
          <w:szCs w:val="21"/>
        </w:rPr>
        <w:t>分子项：</w:t>
      </w:r>
      <w:r>
        <w:rPr>
          <w:szCs w:val="21"/>
        </w:rPr>
        <w:t>铝锭交流电消耗总量为铝锭生产全部用电量，含电解工序交流电用量；电解工序、铸造工序的动力及照明用电；如电解的通风排烟和烟气净化设施，铸造的混合炉、熔炼炉、扒渣机、堆垛机、天车等设备用电；分摊的辅助、附属部门用电。如为电解服务的供电车间、机修车间、电维车间、计算机室、化验室等分摊的线路损失等。</w:t>
      </w:r>
    </w:p>
    <w:p>
      <w:pPr>
        <w:spacing w:line="360" w:lineRule="exact"/>
        <w:ind w:firstLine="420" w:firstLineChars="200"/>
        <w:rPr>
          <w:szCs w:val="21"/>
        </w:rPr>
      </w:pPr>
      <w:r>
        <w:rPr>
          <w:bCs/>
          <w:szCs w:val="21"/>
        </w:rPr>
        <w:t>分母项：</w:t>
      </w:r>
      <w:r>
        <w:rPr>
          <w:szCs w:val="21"/>
        </w:rPr>
        <w:t>合格交库的铝锭产量是指报告期内生产合格交库的铝锭产量，包括商品产量和自用量之和。</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铅锌（32）</w:t>
      </w:r>
    </w:p>
    <w:p>
      <w:pPr>
        <w:spacing w:line="360" w:lineRule="exact"/>
        <w:ind w:firstLine="420" w:firstLineChars="200"/>
        <w:rPr>
          <w:rFonts w:eastAsia="黑体"/>
          <w:szCs w:val="21"/>
        </w:rPr>
      </w:pPr>
      <w:r>
        <w:rPr>
          <w:rFonts w:eastAsia="黑体"/>
          <w:szCs w:val="21"/>
        </w:rPr>
        <w:t>单位粗铅综合能耗</w:t>
      </w:r>
    </w:p>
    <w:p>
      <w:pPr>
        <w:spacing w:line="360" w:lineRule="exact"/>
        <w:ind w:left="5145" w:leftChars="200" w:hanging="4725" w:hangingChars="2250"/>
        <w:rPr>
          <w:rFonts w:ascii="宋体" w:hAnsi="宋体" w:cs="宋体"/>
          <w:szCs w:val="21"/>
        </w:rPr>
      </w:pPr>
      <w:r>
        <w:rPr>
          <w:szCs w:val="21"/>
        </w:rPr>
        <w:t>计算公式：单位粗铅综合能耗（千克标准煤</w:t>
      </w:r>
      <w:r>
        <w:rPr>
          <w:rFonts w:hint="eastAsia" w:ascii="宋体" w:hAnsi="宋体" w:cs="宋体"/>
          <w:szCs w:val="21"/>
        </w:rPr>
        <w:t>/</w:t>
      </w:r>
      <w:r>
        <w:rPr>
          <w:szCs w:val="21"/>
        </w:rPr>
        <w:t>吨）＝</w:t>
      </w:r>
      <w:r>
        <w:rPr>
          <w:rFonts w:hint="eastAsia" w:ascii="宋体" w:hAnsi="宋体" w:cs="宋体"/>
          <w:szCs w:val="21"/>
        </w:rPr>
        <w:t>1000×矿产粗铅综合能源消费量（吨标准煤）/合格交库的矿产粗铅产出量（吨）</w:t>
      </w:r>
    </w:p>
    <w:p>
      <w:pPr>
        <w:spacing w:line="360" w:lineRule="exact"/>
        <w:ind w:firstLine="420" w:firstLineChars="200"/>
        <w:rPr>
          <w:szCs w:val="21"/>
        </w:rPr>
      </w:pPr>
      <w:r>
        <w:rPr>
          <w:szCs w:val="21"/>
        </w:rPr>
        <w:t>分子项：矿产粗铅综合能源消费量。包括粗铅工艺能耗（动力+燃料）和辅助用能分摊量。</w:t>
      </w:r>
    </w:p>
    <w:p>
      <w:pPr>
        <w:spacing w:line="360" w:lineRule="exact"/>
        <w:ind w:firstLine="420" w:firstLineChars="200"/>
        <w:rPr>
          <w:szCs w:val="21"/>
        </w:rPr>
      </w:pPr>
      <w:r>
        <w:rPr>
          <w:szCs w:val="21"/>
        </w:rPr>
        <w:t>辅助用能分摊量＝辅助用能</w:t>
      </w:r>
      <w:r>
        <w:rPr>
          <w:rFonts w:hint="eastAsia" w:ascii="宋体" w:hAnsi="宋体" w:cs="宋体"/>
          <w:szCs w:val="21"/>
        </w:rPr>
        <w:t>×</w:t>
      </w:r>
      <w:r>
        <w:rPr>
          <w:szCs w:val="21"/>
        </w:rPr>
        <w:t>分摊系数</w:t>
      </w:r>
    </w:p>
    <w:p>
      <w:pPr>
        <w:spacing w:line="360" w:lineRule="exact"/>
        <w:ind w:firstLine="420" w:firstLineChars="200"/>
        <w:rPr>
          <w:szCs w:val="21"/>
        </w:rPr>
      </w:pPr>
      <w:r>
        <w:rPr>
          <w:szCs w:val="21"/>
        </w:rPr>
        <w:t>分摊系数＝粗铅工艺总能耗</w:t>
      </w:r>
      <w:r>
        <w:rPr>
          <w:rFonts w:hint="eastAsia" w:ascii="宋体" w:hAnsi="宋体" w:cs="宋体"/>
          <w:szCs w:val="21"/>
        </w:rPr>
        <w:t>/</w:t>
      </w:r>
      <w:r>
        <w:rPr>
          <w:szCs w:val="21"/>
        </w:rPr>
        <w:t>（全厂总能耗－辅助用能）</w:t>
      </w:r>
    </w:p>
    <w:p>
      <w:pPr>
        <w:spacing w:line="360" w:lineRule="exact"/>
        <w:ind w:firstLine="420" w:firstLineChars="200"/>
        <w:rPr>
          <w:szCs w:val="21"/>
        </w:rPr>
      </w:pPr>
      <w:r>
        <w:rPr>
          <w:szCs w:val="21"/>
        </w:rPr>
        <w:t>分母项：合格交库的矿产粗铅产出量。指合格交库的粗铅产量。矿产粗铅指用铅精矿作原料生产的矿产粗铅，不含开炉用粗铅和用铅碎料作原料生产的再生粗铅。</w:t>
      </w:r>
    </w:p>
    <w:p>
      <w:pPr>
        <w:spacing w:line="360" w:lineRule="exact"/>
        <w:ind w:firstLine="420" w:firstLineChars="200"/>
        <w:rPr>
          <w:rFonts w:eastAsia="黑体"/>
          <w:szCs w:val="21"/>
        </w:rPr>
      </w:pPr>
      <w:r>
        <w:rPr>
          <w:rFonts w:eastAsia="黑体"/>
          <w:szCs w:val="21"/>
        </w:rPr>
        <w:t>单位铅冶炼综合能耗</w:t>
      </w:r>
    </w:p>
    <w:p>
      <w:pPr>
        <w:spacing w:line="360" w:lineRule="exact"/>
        <w:ind w:left="5355" w:leftChars="200" w:hanging="4935" w:hangingChars="2350"/>
        <w:rPr>
          <w:rFonts w:ascii="宋体" w:hAnsi="宋体" w:cs="宋体"/>
          <w:szCs w:val="21"/>
        </w:rPr>
      </w:pPr>
      <w:r>
        <w:rPr>
          <w:szCs w:val="21"/>
        </w:rPr>
        <w:t>计算公式：单位铅冶炼综合能耗（千克标准煤</w:t>
      </w:r>
      <w:r>
        <w:rPr>
          <w:rFonts w:hint="eastAsia" w:ascii="宋体" w:hAnsi="宋体" w:cs="宋体"/>
          <w:szCs w:val="21"/>
        </w:rPr>
        <w:t>/</w:t>
      </w:r>
      <w:r>
        <w:rPr>
          <w:szCs w:val="21"/>
        </w:rPr>
        <w:t>吨）＝</w:t>
      </w:r>
      <w:r>
        <w:rPr>
          <w:rFonts w:hint="eastAsia" w:ascii="宋体" w:hAnsi="宋体" w:cs="宋体"/>
          <w:szCs w:val="21"/>
        </w:rPr>
        <w:t>1000×铅产品能源消耗总量（吨标准煤）/合格交库的铅产量（吨）</w:t>
      </w:r>
    </w:p>
    <w:p>
      <w:pPr>
        <w:spacing w:line="360" w:lineRule="exact"/>
        <w:ind w:firstLine="420" w:firstLineChars="200"/>
        <w:rPr>
          <w:szCs w:val="21"/>
        </w:rPr>
      </w:pPr>
      <w:r>
        <w:rPr>
          <w:szCs w:val="21"/>
        </w:rPr>
        <w:t>分子项：铅产品能源消耗总量。包括电铅工艺用能量（动力+燃料）和辅助用能分摊量。</w:t>
      </w:r>
    </w:p>
    <w:p>
      <w:pPr>
        <w:spacing w:line="360" w:lineRule="exact"/>
        <w:ind w:firstLine="420" w:firstLineChars="200"/>
        <w:rPr>
          <w:szCs w:val="21"/>
        </w:rPr>
      </w:pPr>
      <w:r>
        <w:rPr>
          <w:szCs w:val="21"/>
        </w:rPr>
        <w:t>辅助用能分摊量＝辅助用能</w:t>
      </w:r>
      <w:r>
        <w:rPr>
          <w:rFonts w:hint="eastAsia" w:ascii="宋体" w:hAnsi="宋体" w:cs="宋体"/>
          <w:szCs w:val="21"/>
        </w:rPr>
        <w:t>×</w:t>
      </w:r>
      <w:r>
        <w:rPr>
          <w:szCs w:val="21"/>
        </w:rPr>
        <w:t>分摊系数</w:t>
      </w:r>
    </w:p>
    <w:p>
      <w:pPr>
        <w:spacing w:line="360" w:lineRule="exact"/>
        <w:ind w:firstLine="420" w:firstLineChars="200"/>
        <w:rPr>
          <w:szCs w:val="21"/>
        </w:rPr>
      </w:pPr>
      <w:r>
        <w:rPr>
          <w:szCs w:val="21"/>
        </w:rPr>
        <w:t>分摊系数＝电铅工艺总能耗</w:t>
      </w:r>
      <w:r>
        <w:rPr>
          <w:rFonts w:hint="eastAsia" w:ascii="宋体" w:hAnsi="宋体" w:cs="宋体"/>
          <w:szCs w:val="21"/>
        </w:rPr>
        <w:t>/</w:t>
      </w:r>
      <w:r>
        <w:rPr>
          <w:szCs w:val="21"/>
        </w:rPr>
        <w:t>（全厂总能耗－辅助用能）</w:t>
      </w:r>
    </w:p>
    <w:p>
      <w:pPr>
        <w:spacing w:line="360" w:lineRule="exact"/>
        <w:ind w:right="-38" w:firstLine="420"/>
        <w:rPr>
          <w:rFonts w:ascii="宋体" w:hAnsi="宋体" w:cs="宋体"/>
          <w:szCs w:val="21"/>
        </w:rPr>
      </w:pPr>
      <w:r>
        <w:rPr>
          <w:szCs w:val="21"/>
        </w:rPr>
        <w:t>分母项：合格交库的铅产量。指从处理铅精矿到产出合格交库的电铅产出量。铅按原料来源分为以铅精矿作原料生产的矿产铅（电铅或铅锭）、以再生铅（铅蓄电池）作原料生产的再生铅或再生铅合金锭（杂产铅或杂产铅合金锭）、以购买的粗铅作原料生产的铅（电铅或铅锭）。按经济用途分为电铅（铅锭）、商品精铅（经火法精炼铸型生产出的不需电解的铅锭）、铸造锡铅焊料折铅</w:t>
      </w:r>
      <w:r>
        <w:rPr>
          <w:rFonts w:hint="eastAsia" w:ascii="宋体" w:hAnsi="宋体" w:cs="宋体"/>
          <w:szCs w:val="21"/>
        </w:rPr>
        <w:t>（铅≥90%，不含用成品电铅或精铅作原料生产的焊料）、铅基合金（不含用成品电铅或精铅作原料生产的铅基合金，包括电缆护套铅和含铅大于99.13%的铅钙合金）。</w:t>
      </w:r>
    </w:p>
    <w:p>
      <w:pPr>
        <w:spacing w:line="360" w:lineRule="exact"/>
        <w:ind w:firstLine="420" w:firstLineChars="200"/>
        <w:rPr>
          <w:rFonts w:eastAsia="黑体"/>
          <w:szCs w:val="21"/>
        </w:rPr>
      </w:pPr>
      <w:r>
        <w:rPr>
          <w:rFonts w:eastAsia="黑体"/>
          <w:szCs w:val="21"/>
        </w:rPr>
        <w:t>析出铅直流电单耗</w:t>
      </w:r>
    </w:p>
    <w:p>
      <w:pPr>
        <w:spacing w:line="360" w:lineRule="exact"/>
        <w:ind w:left="4725" w:leftChars="200" w:hanging="4305" w:hangingChars="2050"/>
        <w:rPr>
          <w:szCs w:val="21"/>
        </w:rPr>
      </w:pPr>
      <w:r>
        <w:rPr>
          <w:szCs w:val="21"/>
        </w:rPr>
        <w:t>计算公式：析出铅直流电单耗（千瓦时</w:t>
      </w:r>
      <w:r>
        <w:rPr>
          <w:rFonts w:hint="eastAsia" w:ascii="宋体" w:hAnsi="宋体" w:cs="宋体"/>
          <w:szCs w:val="21"/>
        </w:rPr>
        <w:t>/</w:t>
      </w:r>
      <w:r>
        <w:rPr>
          <w:szCs w:val="21"/>
        </w:rPr>
        <w:t>吨）＝</w:t>
      </w:r>
      <w:r>
        <w:rPr>
          <w:rFonts w:hint="eastAsia" w:ascii="宋体" w:hAnsi="宋体" w:cs="宋体"/>
          <w:szCs w:val="21"/>
        </w:rPr>
        <w:t>10000×直流电消耗总量（万千瓦时）/实际析出铅产量（吨）</w:t>
      </w:r>
    </w:p>
    <w:p>
      <w:pPr>
        <w:spacing w:line="360" w:lineRule="exact"/>
        <w:ind w:firstLine="420" w:firstLineChars="200"/>
        <w:rPr>
          <w:szCs w:val="21"/>
        </w:rPr>
      </w:pPr>
      <w:r>
        <w:rPr>
          <w:szCs w:val="21"/>
        </w:rPr>
        <w:t>分子项：直流电消耗总量。包括线路损失电量和电解液净化槽耗电量。</w:t>
      </w:r>
    </w:p>
    <w:p>
      <w:pPr>
        <w:spacing w:line="360" w:lineRule="exact"/>
        <w:ind w:firstLine="420" w:firstLineChars="200"/>
        <w:rPr>
          <w:szCs w:val="21"/>
        </w:rPr>
      </w:pPr>
      <w:r>
        <w:rPr>
          <w:szCs w:val="21"/>
        </w:rPr>
        <w:t xml:space="preserve">分母项：实际析出铅产量。 </w:t>
      </w:r>
    </w:p>
    <w:p>
      <w:pPr>
        <w:spacing w:line="360" w:lineRule="exact"/>
        <w:ind w:firstLine="420" w:firstLineChars="200"/>
        <w:rPr>
          <w:rFonts w:eastAsia="黑体"/>
          <w:szCs w:val="21"/>
        </w:rPr>
      </w:pPr>
      <w:r>
        <w:rPr>
          <w:rFonts w:eastAsia="黑体"/>
          <w:szCs w:val="21"/>
        </w:rPr>
        <w:t>蒸馏锌综合标准煤耗单耗</w:t>
      </w:r>
    </w:p>
    <w:p>
      <w:pPr>
        <w:spacing w:line="360" w:lineRule="exact"/>
        <w:ind w:left="5775" w:leftChars="200" w:hanging="5355" w:hangingChars="2550"/>
        <w:rPr>
          <w:szCs w:val="21"/>
        </w:rPr>
      </w:pPr>
      <w:r>
        <w:rPr>
          <w:szCs w:val="21"/>
        </w:rPr>
        <w:t>计算公式：蒸馏锌综合标准煤耗单耗（千克标准煤</w:t>
      </w:r>
      <w:r>
        <w:rPr>
          <w:rFonts w:hint="eastAsia" w:ascii="宋体" w:hAnsi="宋体" w:cs="宋体"/>
          <w:szCs w:val="21"/>
        </w:rPr>
        <w:t>/</w:t>
      </w:r>
      <w:r>
        <w:rPr>
          <w:szCs w:val="21"/>
        </w:rPr>
        <w:t>吨）＝</w:t>
      </w:r>
      <w:r>
        <w:rPr>
          <w:rFonts w:hint="eastAsia" w:ascii="宋体" w:hAnsi="宋体" w:cs="宋体"/>
          <w:szCs w:val="21"/>
        </w:rPr>
        <w:t>1000×蒸馏锌综合标准煤消耗总量（吨标准煤）/合格蒸馏锌产量（吨）</w:t>
      </w:r>
    </w:p>
    <w:p>
      <w:pPr>
        <w:spacing w:line="360" w:lineRule="exact"/>
        <w:ind w:firstLine="420" w:firstLineChars="200"/>
        <w:rPr>
          <w:szCs w:val="21"/>
        </w:rPr>
      </w:pPr>
      <w:r>
        <w:rPr>
          <w:szCs w:val="21"/>
        </w:rPr>
        <w:t>分子项：蒸馏锌综合标准煤消耗总量。包括煤炭、焦炭、重油、蒸汽等的消费（标准煤），蒸汽用煤（标准煤）应减去沸腾炉回收余热蒸汽（标准煤）。</w:t>
      </w:r>
    </w:p>
    <w:p>
      <w:pPr>
        <w:spacing w:line="360" w:lineRule="exact"/>
        <w:ind w:firstLine="420" w:firstLineChars="200"/>
        <w:rPr>
          <w:szCs w:val="21"/>
        </w:rPr>
      </w:pPr>
      <w:r>
        <w:rPr>
          <w:szCs w:val="21"/>
        </w:rPr>
        <w:t>分母项：合格蒸馏锌产量。指交库的合格蒸馏锌产量。</w:t>
      </w:r>
    </w:p>
    <w:p>
      <w:pPr>
        <w:spacing w:line="360" w:lineRule="exact"/>
        <w:ind w:firstLine="420" w:firstLineChars="200"/>
        <w:rPr>
          <w:rFonts w:eastAsia="黑体"/>
          <w:szCs w:val="21"/>
        </w:rPr>
      </w:pPr>
      <w:r>
        <w:rPr>
          <w:rFonts w:eastAsia="黑体"/>
          <w:szCs w:val="21"/>
        </w:rPr>
        <w:t>单位精锌（电锌）综合能耗</w:t>
      </w:r>
    </w:p>
    <w:p>
      <w:pPr>
        <w:spacing w:line="360" w:lineRule="exact"/>
        <w:ind w:left="5667" w:leftChars="200" w:hanging="5247" w:hangingChars="2650"/>
        <w:rPr>
          <w:spacing w:val="-6"/>
          <w:szCs w:val="21"/>
        </w:rPr>
      </w:pPr>
      <w:r>
        <w:rPr>
          <w:spacing w:val="-6"/>
          <w:szCs w:val="21"/>
        </w:rPr>
        <w:t>计算公式：单位精锌（电锌）综合能耗</w:t>
      </w:r>
      <w:r>
        <w:rPr>
          <w:rFonts w:hint="eastAsia" w:ascii="宋体" w:hAnsi="宋体" w:cs="宋体"/>
          <w:spacing w:val="-6"/>
          <w:szCs w:val="21"/>
        </w:rPr>
        <w:t>（千克标准煤/吨）＝1000×精锌（电锌）产品能源消耗总量（吨标准煤）/合格交库的精锌（电锌）产量（吨）</w:t>
      </w:r>
    </w:p>
    <w:p>
      <w:pPr>
        <w:spacing w:line="360" w:lineRule="exact"/>
        <w:ind w:firstLine="420" w:firstLineChars="200"/>
        <w:rPr>
          <w:szCs w:val="21"/>
        </w:rPr>
      </w:pPr>
      <w:r>
        <w:rPr>
          <w:szCs w:val="21"/>
        </w:rPr>
        <w:t>分子项：精锌（电锌）产品能源消耗总量。指精锌（电锌）工艺能源消耗量（动力+燃料）和辅助用能分摊量。</w:t>
      </w:r>
    </w:p>
    <w:p>
      <w:pPr>
        <w:spacing w:line="360" w:lineRule="exact"/>
        <w:ind w:firstLine="420" w:firstLineChars="200"/>
        <w:rPr>
          <w:szCs w:val="21"/>
        </w:rPr>
      </w:pPr>
      <w:r>
        <w:rPr>
          <w:szCs w:val="21"/>
        </w:rPr>
        <w:t>辅助用能分摊量＝辅助用能</w:t>
      </w:r>
      <w:r>
        <w:rPr>
          <w:rFonts w:hint="eastAsia" w:ascii="宋体" w:hAnsi="宋体" w:cs="宋体"/>
          <w:szCs w:val="21"/>
        </w:rPr>
        <w:t>×</w:t>
      </w:r>
      <w:r>
        <w:rPr>
          <w:szCs w:val="21"/>
        </w:rPr>
        <w:t>分摊系数</w:t>
      </w:r>
    </w:p>
    <w:p>
      <w:pPr>
        <w:spacing w:line="360" w:lineRule="exact"/>
        <w:ind w:firstLine="420" w:firstLineChars="200"/>
        <w:rPr>
          <w:szCs w:val="21"/>
        </w:rPr>
      </w:pPr>
      <w:r>
        <w:rPr>
          <w:szCs w:val="21"/>
        </w:rPr>
        <w:t>分摊系数＝精锌（电锌）工艺总能耗</w:t>
      </w:r>
      <w:r>
        <w:rPr>
          <w:rFonts w:hint="eastAsia" w:ascii="宋体" w:hAnsi="宋体" w:cs="宋体"/>
          <w:szCs w:val="21"/>
        </w:rPr>
        <w:t>/</w:t>
      </w:r>
      <w:r>
        <w:rPr>
          <w:szCs w:val="21"/>
        </w:rPr>
        <w:t>（全厂总能耗－辅助用能）</w:t>
      </w:r>
    </w:p>
    <w:p>
      <w:pPr>
        <w:spacing w:line="360" w:lineRule="exact"/>
        <w:ind w:firstLine="420" w:firstLineChars="200"/>
        <w:rPr>
          <w:szCs w:val="21"/>
        </w:rPr>
      </w:pPr>
      <w:r>
        <w:rPr>
          <w:szCs w:val="21"/>
        </w:rPr>
        <w:t>分母项：合格交库的精锌（电锌）产量。指从处理锌精矿到产出合格交库的精锌（电锌）产出量。</w:t>
      </w:r>
    </w:p>
    <w:p>
      <w:pPr>
        <w:spacing w:line="360" w:lineRule="exact"/>
        <w:ind w:firstLine="420" w:firstLineChars="200"/>
        <w:rPr>
          <w:szCs w:val="21"/>
        </w:rPr>
      </w:pPr>
      <w:r>
        <w:rPr>
          <w:szCs w:val="21"/>
        </w:rPr>
        <w:t>火法和湿法炼锌均采用此办法。</w:t>
      </w:r>
    </w:p>
    <w:p>
      <w:pPr>
        <w:spacing w:line="360" w:lineRule="exact"/>
        <w:ind w:firstLine="420" w:firstLineChars="200"/>
        <w:rPr>
          <w:rFonts w:eastAsia="黑体"/>
          <w:szCs w:val="21"/>
        </w:rPr>
      </w:pPr>
      <w:r>
        <w:rPr>
          <w:rFonts w:eastAsia="黑体"/>
          <w:szCs w:val="21"/>
        </w:rPr>
        <w:t>析出锌（湿法）直流电单耗</w:t>
      </w:r>
    </w:p>
    <w:p>
      <w:pPr>
        <w:spacing w:line="360" w:lineRule="exact"/>
        <w:ind w:left="5564" w:leftChars="193" w:hanging="5159" w:hangingChars="2457"/>
        <w:rPr>
          <w:szCs w:val="21"/>
        </w:rPr>
      </w:pPr>
      <w:r>
        <w:rPr>
          <w:szCs w:val="21"/>
        </w:rPr>
        <w:t>计算公式：析出锌（湿法）直流电单耗（千瓦时</w:t>
      </w:r>
      <w:r>
        <w:rPr>
          <w:rFonts w:hint="eastAsia" w:ascii="宋体" w:hAnsi="宋体" w:cs="宋体"/>
          <w:szCs w:val="21"/>
        </w:rPr>
        <w:t>/</w:t>
      </w:r>
      <w:r>
        <w:rPr>
          <w:szCs w:val="21"/>
        </w:rPr>
        <w:t>吨）＝</w:t>
      </w:r>
      <w:r>
        <w:rPr>
          <w:rFonts w:hint="eastAsia" w:ascii="宋体" w:hAnsi="宋体" w:cs="宋体"/>
          <w:szCs w:val="21"/>
        </w:rPr>
        <w:t xml:space="preserve">10000×直流电消耗总量（万千瓦时）/实际析出锌产量（吨） </w:t>
      </w:r>
      <w:r>
        <w:rPr>
          <w:szCs w:val="21"/>
        </w:rPr>
        <w:t xml:space="preserve"> </w:t>
      </w:r>
    </w:p>
    <w:p>
      <w:pPr>
        <w:spacing w:line="360" w:lineRule="exact"/>
        <w:ind w:firstLine="420" w:firstLineChars="200"/>
        <w:rPr>
          <w:szCs w:val="21"/>
        </w:rPr>
      </w:pPr>
      <w:r>
        <w:rPr>
          <w:szCs w:val="21"/>
        </w:rPr>
        <w:t>分子项：直流电消耗总量包括线路损失电量和电解液净化槽耗电量。</w:t>
      </w:r>
    </w:p>
    <w:p>
      <w:pPr>
        <w:spacing w:line="360" w:lineRule="exact"/>
        <w:ind w:firstLine="420" w:firstLineChars="200"/>
        <w:rPr>
          <w:szCs w:val="21"/>
        </w:rPr>
      </w:pPr>
      <w:r>
        <w:rPr>
          <w:szCs w:val="21"/>
        </w:rPr>
        <w:t>分母项：实际析出锌产量。</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有色金属材（32）</w:t>
      </w:r>
    </w:p>
    <w:p>
      <w:pPr>
        <w:spacing w:line="360" w:lineRule="exact"/>
        <w:ind w:firstLine="420" w:firstLineChars="200"/>
        <w:rPr>
          <w:rFonts w:eastAsia="黑体"/>
          <w:szCs w:val="21"/>
        </w:rPr>
      </w:pPr>
      <w:r>
        <w:rPr>
          <w:rFonts w:eastAsia="黑体"/>
          <w:szCs w:val="21"/>
        </w:rPr>
        <w:t>吨铜加工材消耗电量</w:t>
      </w:r>
    </w:p>
    <w:p>
      <w:pPr>
        <w:spacing w:line="360" w:lineRule="exact"/>
        <w:ind w:left="4935" w:leftChars="200" w:hanging="4515" w:hangingChars="2150"/>
        <w:rPr>
          <w:szCs w:val="21"/>
        </w:rPr>
      </w:pPr>
      <w:r>
        <w:rPr>
          <w:szCs w:val="21"/>
        </w:rPr>
        <w:t>计算公式：吨铜加工材消耗电量（千瓦时</w:t>
      </w:r>
      <w:r>
        <w:rPr>
          <w:rFonts w:hint="eastAsia" w:ascii="宋体" w:hAnsi="宋体" w:cs="宋体"/>
          <w:szCs w:val="21"/>
        </w:rPr>
        <w:t>/</w:t>
      </w:r>
      <w:r>
        <w:rPr>
          <w:szCs w:val="21"/>
        </w:rPr>
        <w:t>吨）</w:t>
      </w:r>
      <w:r>
        <w:rPr>
          <w:rFonts w:hint="eastAsia" w:ascii="宋体" w:hAnsi="宋体" w:cs="宋体"/>
          <w:szCs w:val="21"/>
        </w:rPr>
        <w:t>＝10000×铜加工材用电消耗总量（万千瓦时）/合格交库的铜材产量（吨）</w:t>
      </w:r>
      <w:r>
        <w:rPr>
          <w:szCs w:val="21"/>
        </w:rPr>
        <w:t xml:space="preserve">  </w:t>
      </w:r>
    </w:p>
    <w:p>
      <w:pPr>
        <w:spacing w:line="360" w:lineRule="exact"/>
        <w:ind w:firstLine="420" w:firstLineChars="200"/>
        <w:rPr>
          <w:szCs w:val="21"/>
        </w:rPr>
      </w:pPr>
      <w:r>
        <w:rPr>
          <w:szCs w:val="21"/>
        </w:rPr>
        <w:t>分子项：铜加工材用电消耗总量。包括铜加工生产分厂（车间）、辅助分厂（车间）和附属单位所消耗的电量，以及按比例分摊的线路损失电量；不包括铜深加工产品消耗的电量、基建及专供其他单位的用电。</w:t>
      </w:r>
    </w:p>
    <w:p>
      <w:pPr>
        <w:spacing w:line="360" w:lineRule="exact"/>
        <w:ind w:firstLine="420" w:firstLineChars="200"/>
        <w:rPr>
          <w:szCs w:val="21"/>
        </w:rPr>
      </w:pPr>
      <w:r>
        <w:rPr>
          <w:szCs w:val="21"/>
        </w:rPr>
        <w:t>分母项：合格交库铜材产量。包括自用量，不包括深加工产品产量。</w:t>
      </w:r>
    </w:p>
    <w:p>
      <w:pPr>
        <w:spacing w:line="360" w:lineRule="exact"/>
        <w:ind w:firstLine="420" w:firstLineChars="200"/>
        <w:rPr>
          <w:rFonts w:eastAsia="黑体"/>
          <w:szCs w:val="21"/>
        </w:rPr>
      </w:pPr>
      <w:r>
        <w:rPr>
          <w:rFonts w:eastAsia="黑体"/>
          <w:szCs w:val="21"/>
        </w:rPr>
        <w:t>吨铜加工材消耗能源量</w:t>
      </w:r>
    </w:p>
    <w:p>
      <w:pPr>
        <w:spacing w:line="360" w:lineRule="exact"/>
        <w:ind w:left="5565" w:leftChars="200" w:hanging="5145" w:hangingChars="2450"/>
        <w:rPr>
          <w:rFonts w:ascii="宋体" w:hAnsi="宋体" w:cs="宋体"/>
          <w:szCs w:val="21"/>
        </w:rPr>
      </w:pPr>
      <w:r>
        <w:rPr>
          <w:szCs w:val="21"/>
        </w:rPr>
        <w:t>计算公式：吨铜加工材消耗能源量（千克标准煤</w:t>
      </w:r>
      <w:r>
        <w:rPr>
          <w:rFonts w:hint="eastAsia" w:ascii="宋体" w:hAnsi="宋体" w:cs="宋体"/>
          <w:szCs w:val="21"/>
        </w:rPr>
        <w:t>/</w:t>
      </w:r>
      <w:r>
        <w:rPr>
          <w:szCs w:val="21"/>
        </w:rPr>
        <w:t>吨）</w:t>
      </w:r>
      <w:r>
        <w:rPr>
          <w:rFonts w:hint="eastAsia" w:ascii="宋体" w:hAnsi="宋体" w:cs="宋体"/>
          <w:szCs w:val="21"/>
        </w:rPr>
        <w:t>＝1000×铜加工材能源消耗总量（吨标准煤）/合格交库的铜材产量（吨）</w:t>
      </w:r>
    </w:p>
    <w:p>
      <w:pPr>
        <w:spacing w:line="360" w:lineRule="exact"/>
        <w:ind w:right="-38" w:firstLine="420"/>
        <w:rPr>
          <w:szCs w:val="21"/>
        </w:rPr>
      </w:pPr>
      <w:r>
        <w:rPr>
          <w:szCs w:val="21"/>
        </w:rPr>
        <w:t>分子项：铜加工材能源消耗总量。包括铜加工生产分厂（车间）、辅助分厂（车间）和附属单位所消耗的能源，能源亏损量应计入能耗。不包括深加工产品耗能、基建、改造用能和专供其他单位的用能。计量单位为吨标准煤。</w:t>
      </w:r>
    </w:p>
    <w:p>
      <w:pPr>
        <w:spacing w:line="360" w:lineRule="exact"/>
        <w:ind w:firstLine="420" w:firstLineChars="200"/>
        <w:rPr>
          <w:szCs w:val="21"/>
        </w:rPr>
      </w:pPr>
      <w:r>
        <w:rPr>
          <w:szCs w:val="21"/>
        </w:rPr>
        <w:t>分母项：合格交库铜材产量。说明同上。</w:t>
      </w:r>
    </w:p>
    <w:p>
      <w:pPr>
        <w:spacing w:line="360" w:lineRule="exact"/>
        <w:ind w:firstLine="420" w:firstLineChars="200"/>
        <w:rPr>
          <w:szCs w:val="21"/>
        </w:rPr>
      </w:pPr>
      <w:r>
        <w:rPr>
          <w:szCs w:val="21"/>
        </w:rPr>
        <w:t>铜材指用精炼铜和直接利用再生铜作原料，经挤压、锻造、轧制、或拉伸生产的铜加工产品。铜加工产品按形状、尺寸不同可分为：板材、带材、管材、棒材、线材、型材、箔材、锻件等加工材产品。</w:t>
      </w:r>
    </w:p>
    <w:p>
      <w:pPr>
        <w:spacing w:line="360" w:lineRule="exact"/>
        <w:ind w:firstLine="420" w:firstLineChars="200"/>
        <w:rPr>
          <w:rFonts w:eastAsia="黑体"/>
          <w:szCs w:val="21"/>
        </w:rPr>
      </w:pPr>
      <w:r>
        <w:rPr>
          <w:rFonts w:eastAsia="黑体"/>
          <w:szCs w:val="21"/>
        </w:rPr>
        <w:t>吨铝加工材消耗电量</w:t>
      </w:r>
    </w:p>
    <w:p>
      <w:pPr>
        <w:spacing w:line="360" w:lineRule="exact"/>
        <w:ind w:left="4935" w:leftChars="200" w:hanging="4515" w:hangingChars="2150"/>
        <w:rPr>
          <w:szCs w:val="21"/>
        </w:rPr>
      </w:pPr>
      <w:r>
        <w:rPr>
          <w:szCs w:val="21"/>
        </w:rPr>
        <w:t>计算公式：吨铝加工材消耗电量（千瓦时</w:t>
      </w:r>
      <w:r>
        <w:rPr>
          <w:rFonts w:hint="eastAsia" w:ascii="宋体" w:hAnsi="宋体" w:cs="宋体"/>
          <w:szCs w:val="21"/>
        </w:rPr>
        <w:t>/</w:t>
      </w:r>
      <w:r>
        <w:rPr>
          <w:szCs w:val="21"/>
        </w:rPr>
        <w:t>吨）</w:t>
      </w:r>
      <w:r>
        <w:rPr>
          <w:rFonts w:hint="eastAsia" w:ascii="宋体" w:hAnsi="宋体" w:cs="宋体"/>
          <w:szCs w:val="21"/>
        </w:rPr>
        <w:t xml:space="preserve">＝10000×铝加工材用电消耗总量（万千瓦时）/合格交库的铝材产量（吨）  </w:t>
      </w:r>
    </w:p>
    <w:p>
      <w:pPr>
        <w:spacing w:line="360" w:lineRule="exact"/>
        <w:ind w:firstLine="420" w:firstLineChars="200"/>
        <w:rPr>
          <w:szCs w:val="21"/>
        </w:rPr>
      </w:pPr>
      <w:r>
        <w:rPr>
          <w:szCs w:val="21"/>
        </w:rPr>
        <w:t>分子项：铝加工材用电消耗总量。包括铝加工生产分厂（车间），辅助分厂（车间）和附属单位所消耗的电量，以及按比例分摊的线路损失电量。不包括铝深加工产品所消耗的电量、基建及专供其他单位用电。</w:t>
      </w:r>
    </w:p>
    <w:p>
      <w:pPr>
        <w:spacing w:line="360" w:lineRule="exact"/>
        <w:ind w:firstLine="420" w:firstLineChars="200"/>
        <w:rPr>
          <w:szCs w:val="21"/>
        </w:rPr>
      </w:pPr>
      <w:r>
        <w:rPr>
          <w:szCs w:val="21"/>
        </w:rPr>
        <w:t>分母项：合格交库的铝材产量。包括自用量，不包括深加工产品产量。</w:t>
      </w:r>
    </w:p>
    <w:p>
      <w:pPr>
        <w:spacing w:line="360" w:lineRule="exact"/>
        <w:ind w:firstLine="420" w:firstLineChars="200"/>
        <w:rPr>
          <w:rFonts w:eastAsia="黑体"/>
          <w:szCs w:val="21"/>
        </w:rPr>
      </w:pPr>
      <w:r>
        <w:rPr>
          <w:szCs w:val="21"/>
        </w:rPr>
        <w:t>铝材指用铝液、电解铝锭、铝合金锭及直接利用的再生铝作原料，经挤压、锻造、轧制、或拉伸生产的铝加工产品。铝加工产品按形状、尺寸不同可分为：板材、带材、管材、棒材、线材、型材、箔材、排材、锻件等铝加工材产品。</w:t>
      </w:r>
    </w:p>
    <w:p>
      <w:pPr>
        <w:spacing w:line="360" w:lineRule="exact"/>
        <w:ind w:firstLine="420" w:firstLineChars="200"/>
        <w:rPr>
          <w:rFonts w:eastAsia="黑体"/>
          <w:szCs w:val="21"/>
        </w:rPr>
      </w:pPr>
      <w:r>
        <w:rPr>
          <w:rFonts w:eastAsia="黑体"/>
          <w:szCs w:val="21"/>
        </w:rPr>
        <w:t>吨铝加工材消耗能源量</w:t>
      </w:r>
    </w:p>
    <w:p>
      <w:pPr>
        <w:spacing w:line="360" w:lineRule="exact"/>
        <w:ind w:left="5565" w:leftChars="200" w:hanging="5145" w:hangingChars="2450"/>
        <w:rPr>
          <w:rFonts w:ascii="宋体" w:hAnsi="宋体" w:cs="宋体"/>
          <w:szCs w:val="21"/>
        </w:rPr>
      </w:pPr>
      <w:r>
        <w:rPr>
          <w:szCs w:val="21"/>
        </w:rPr>
        <w:t>计算公式：吨铝加工材消耗能源量（千克标准煤</w:t>
      </w:r>
      <w:r>
        <w:rPr>
          <w:rFonts w:hint="eastAsia" w:ascii="宋体" w:hAnsi="宋体" w:cs="宋体"/>
          <w:szCs w:val="21"/>
        </w:rPr>
        <w:t>/</w:t>
      </w:r>
      <w:r>
        <w:rPr>
          <w:szCs w:val="21"/>
        </w:rPr>
        <w:t>吨）</w:t>
      </w:r>
      <w:r>
        <w:rPr>
          <w:rFonts w:hint="eastAsia" w:ascii="宋体" w:hAnsi="宋体" w:cs="宋体"/>
          <w:szCs w:val="21"/>
        </w:rPr>
        <w:t xml:space="preserve">＝1000×铝加工材能源消耗总量（吨标准）/合格交库的铝材产量（吨）  </w:t>
      </w:r>
    </w:p>
    <w:p>
      <w:pPr>
        <w:spacing w:line="360" w:lineRule="exact"/>
        <w:ind w:firstLine="420" w:firstLineChars="200"/>
        <w:rPr>
          <w:szCs w:val="21"/>
        </w:rPr>
      </w:pPr>
      <w:r>
        <w:rPr>
          <w:szCs w:val="21"/>
        </w:rPr>
        <w:t>分子项：铝加工材能源消耗总量。包括铝加工生产、辅助单位和附属单位能源消耗的总和，能源亏损量要计入消耗量内。不包括深加工产品耗能以及基建、改造用能和专供其他单位的用能。计量单位为吨标准煤。</w:t>
      </w:r>
    </w:p>
    <w:p>
      <w:pPr>
        <w:spacing w:line="360" w:lineRule="exact"/>
        <w:ind w:firstLine="420" w:firstLineChars="200"/>
        <w:rPr>
          <w:szCs w:val="21"/>
        </w:rPr>
      </w:pPr>
      <w:r>
        <w:rPr>
          <w:szCs w:val="21"/>
        </w:rPr>
        <w:t>分母项：合格交库的铝材产量。说明同上。</w:t>
      </w:r>
    </w:p>
    <w:p>
      <w:pPr>
        <w:spacing w:line="360" w:lineRule="exact"/>
        <w:ind w:firstLine="420" w:firstLineChars="200"/>
        <w:rPr>
          <w:rFonts w:eastAsia="黑体"/>
          <w:bCs/>
          <w:szCs w:val="21"/>
        </w:rPr>
      </w:pPr>
    </w:p>
    <w:p>
      <w:pPr>
        <w:spacing w:line="360" w:lineRule="exact"/>
        <w:ind w:firstLine="420" w:firstLineChars="200"/>
        <w:rPr>
          <w:rFonts w:eastAsia="黑体"/>
          <w:bCs/>
          <w:szCs w:val="21"/>
        </w:rPr>
      </w:pPr>
      <w:r>
        <w:rPr>
          <w:rFonts w:eastAsia="黑体"/>
          <w:bCs/>
          <w:szCs w:val="21"/>
        </w:rPr>
        <w:t>火力发电（44）</w:t>
      </w:r>
    </w:p>
    <w:p>
      <w:pPr>
        <w:spacing w:line="360" w:lineRule="exact"/>
        <w:ind w:firstLine="420" w:firstLineChars="200"/>
        <w:rPr>
          <w:rFonts w:eastAsia="黑体"/>
          <w:szCs w:val="21"/>
        </w:rPr>
      </w:pPr>
      <w:r>
        <w:rPr>
          <w:rFonts w:eastAsia="黑体"/>
          <w:szCs w:val="21"/>
        </w:rPr>
        <w:t>电厂火力发电标准煤耗</w:t>
      </w:r>
    </w:p>
    <w:p>
      <w:pPr>
        <w:spacing w:line="360" w:lineRule="exact"/>
        <w:ind w:left="5775" w:leftChars="200" w:hanging="5355" w:hangingChars="2550"/>
        <w:rPr>
          <w:rFonts w:ascii="宋体" w:hAnsi="宋体" w:cs="宋体"/>
          <w:szCs w:val="21"/>
        </w:rPr>
      </w:pPr>
      <w:r>
        <w:rPr>
          <w:szCs w:val="21"/>
        </w:rPr>
        <w:t>计算公式：电厂火力发电标准煤耗（克标准煤</w:t>
      </w:r>
      <w:r>
        <w:rPr>
          <w:rFonts w:hint="eastAsia" w:ascii="宋体" w:hAnsi="宋体" w:cs="宋体"/>
          <w:szCs w:val="21"/>
        </w:rPr>
        <w:t>/</w:t>
      </w:r>
      <w:r>
        <w:rPr>
          <w:szCs w:val="21"/>
        </w:rPr>
        <w:t>千瓦时）</w:t>
      </w:r>
      <w:r>
        <w:rPr>
          <w:rFonts w:hint="eastAsia" w:ascii="宋体" w:hAnsi="宋体" w:cs="宋体"/>
          <w:szCs w:val="21"/>
        </w:rPr>
        <w:t>＝100×发电耗用标准煤量（吨标准煤）/火力发电量（万千瓦时）</w:t>
      </w:r>
    </w:p>
    <w:p>
      <w:pPr>
        <w:spacing w:line="360" w:lineRule="exact"/>
        <w:ind w:firstLine="420" w:firstLineChars="200"/>
        <w:rPr>
          <w:szCs w:val="21"/>
        </w:rPr>
      </w:pPr>
      <w:r>
        <w:rPr>
          <w:szCs w:val="21"/>
        </w:rPr>
        <w:t>分子项：发电耗用标准煤量。指发电生产耗用的原煤、燃料油和燃气等（标准煤）。不包括如下用项：</w:t>
      </w:r>
    </w:p>
    <w:p>
      <w:pPr>
        <w:spacing w:line="360" w:lineRule="exact"/>
        <w:ind w:firstLine="420" w:firstLineChars="200"/>
        <w:rPr>
          <w:rFonts w:ascii="宋体" w:hAnsi="宋体" w:cs="宋体"/>
          <w:szCs w:val="21"/>
        </w:rPr>
      </w:pPr>
      <w:r>
        <w:rPr>
          <w:rFonts w:hint="eastAsia" w:ascii="宋体" w:hAnsi="宋体" w:cs="宋体"/>
          <w:szCs w:val="21"/>
        </w:rPr>
        <w:t>（1）新设备或大修后设备的烘炉、煮炉、暖风机、空载运行的用能；</w:t>
      </w:r>
    </w:p>
    <w:p>
      <w:pPr>
        <w:spacing w:line="360" w:lineRule="exact"/>
        <w:ind w:firstLine="420" w:firstLineChars="200"/>
        <w:rPr>
          <w:rFonts w:ascii="宋体" w:hAnsi="宋体" w:cs="宋体"/>
          <w:szCs w:val="21"/>
        </w:rPr>
      </w:pPr>
      <w:r>
        <w:rPr>
          <w:rFonts w:hint="eastAsia" w:ascii="宋体" w:hAnsi="宋体" w:cs="宋体"/>
          <w:szCs w:val="21"/>
        </w:rPr>
        <w:t>（2）新设备在未移交生产前的带负荷试运行期间的用能；</w:t>
      </w:r>
    </w:p>
    <w:p>
      <w:pPr>
        <w:spacing w:line="360" w:lineRule="exact"/>
        <w:ind w:firstLine="420" w:firstLineChars="200"/>
        <w:rPr>
          <w:rFonts w:ascii="宋体" w:hAnsi="宋体" w:cs="宋体"/>
          <w:szCs w:val="21"/>
        </w:rPr>
      </w:pPr>
      <w:r>
        <w:rPr>
          <w:rFonts w:hint="eastAsia" w:ascii="宋体" w:hAnsi="宋体" w:cs="宋体"/>
          <w:szCs w:val="21"/>
        </w:rPr>
        <w:t>（3）计划大修以及基建、更改工程施工的用能；</w:t>
      </w:r>
    </w:p>
    <w:p>
      <w:pPr>
        <w:spacing w:line="360" w:lineRule="exact"/>
        <w:ind w:firstLine="420" w:firstLineChars="200"/>
        <w:rPr>
          <w:rFonts w:ascii="宋体" w:hAnsi="宋体" w:cs="宋体"/>
          <w:szCs w:val="21"/>
        </w:rPr>
      </w:pPr>
      <w:r>
        <w:rPr>
          <w:rFonts w:hint="eastAsia" w:ascii="宋体" w:hAnsi="宋体" w:cs="宋体"/>
          <w:szCs w:val="21"/>
        </w:rPr>
        <w:t>（4）发电机作调相运行时耗用的用能；</w:t>
      </w:r>
    </w:p>
    <w:p>
      <w:pPr>
        <w:spacing w:line="360" w:lineRule="exact"/>
        <w:ind w:firstLine="420" w:firstLineChars="200"/>
        <w:rPr>
          <w:szCs w:val="21"/>
        </w:rPr>
      </w:pPr>
      <w:r>
        <w:rPr>
          <w:rFonts w:hint="eastAsia" w:ascii="宋体" w:hAnsi="宋体" w:cs="宋体"/>
          <w:szCs w:val="21"/>
        </w:rPr>
        <w:t>（5）自备机车、船舶等耗用的用能</w:t>
      </w:r>
      <w:r>
        <w:rPr>
          <w:szCs w:val="21"/>
        </w:rPr>
        <w:t>；</w:t>
      </w:r>
    </w:p>
    <w:p>
      <w:pPr>
        <w:spacing w:line="360" w:lineRule="exact"/>
        <w:ind w:firstLine="420" w:firstLineChars="200"/>
        <w:rPr>
          <w:rFonts w:ascii="宋体" w:hAnsi="宋体" w:cs="宋体"/>
          <w:szCs w:val="21"/>
        </w:rPr>
      </w:pPr>
      <w:r>
        <w:rPr>
          <w:rFonts w:hint="eastAsia" w:ascii="宋体" w:hAnsi="宋体" w:cs="宋体"/>
          <w:szCs w:val="21"/>
        </w:rPr>
        <w:t>（6）升、降压变压器（不包括厂用电变压器）、变波机、调相机等消耗的用能；</w:t>
      </w:r>
    </w:p>
    <w:p>
      <w:pPr>
        <w:spacing w:line="360" w:lineRule="exact"/>
        <w:ind w:firstLine="420" w:firstLineChars="200"/>
        <w:rPr>
          <w:rFonts w:ascii="宋体" w:hAnsi="宋体" w:cs="宋体"/>
          <w:szCs w:val="21"/>
        </w:rPr>
      </w:pPr>
      <w:r>
        <w:rPr>
          <w:rFonts w:hint="eastAsia" w:ascii="宋体" w:hAnsi="宋体" w:cs="宋体"/>
          <w:szCs w:val="21"/>
        </w:rPr>
        <w:t>（7）修配车间、车库、副业、综合利用、集体企业、外供及非生产用（食堂、宿舍、幼儿园、学校、医院、服务公司和办公室等）的燃料。</w:t>
      </w:r>
    </w:p>
    <w:p>
      <w:pPr>
        <w:spacing w:line="360" w:lineRule="exact"/>
        <w:ind w:firstLine="420" w:firstLineChars="200"/>
        <w:rPr>
          <w:rFonts w:ascii="宋体" w:hAnsi="宋体" w:cs="宋体"/>
          <w:szCs w:val="21"/>
        </w:rPr>
      </w:pPr>
      <w:r>
        <w:rPr>
          <w:rFonts w:hint="eastAsia" w:ascii="宋体" w:hAnsi="宋体" w:cs="宋体"/>
          <w:szCs w:val="21"/>
        </w:rPr>
        <w:t>发电企业对外供热，其“发电耗用标准煤量”计算方法如下：</w:t>
      </w:r>
    </w:p>
    <w:p>
      <w:pPr>
        <w:spacing w:line="360" w:lineRule="exact"/>
        <w:ind w:firstLine="420" w:firstLineChars="200"/>
        <w:rPr>
          <w:rFonts w:ascii="宋体" w:hAnsi="宋体" w:cs="宋体"/>
          <w:szCs w:val="21"/>
        </w:rPr>
      </w:pPr>
      <w:r>
        <w:rPr>
          <w:rFonts w:hint="eastAsia" w:ascii="宋体" w:hAnsi="宋体" w:cs="宋体"/>
          <w:szCs w:val="21"/>
        </w:rPr>
        <w:t>发电耗用标准煤量＝发电、供热耗用标准煤量－供热耗用标准煤量</w:t>
      </w:r>
    </w:p>
    <w:p>
      <w:pPr>
        <w:spacing w:line="360" w:lineRule="exact"/>
        <w:ind w:firstLine="420" w:firstLineChars="200"/>
        <w:rPr>
          <w:rFonts w:ascii="宋体" w:hAnsi="宋体" w:cs="宋体"/>
          <w:szCs w:val="21"/>
        </w:rPr>
      </w:pPr>
      <w:r>
        <w:rPr>
          <w:rFonts w:hint="eastAsia" w:ascii="宋体" w:hAnsi="宋体" w:cs="宋体"/>
          <w:szCs w:val="21"/>
        </w:rPr>
        <w:t>式中“供热耗用标准煤量”的计算，根据不同的供热方式，分别采用如下计算方法：</w:t>
      </w:r>
    </w:p>
    <w:p>
      <w:pPr>
        <w:spacing w:line="360" w:lineRule="exact"/>
        <w:ind w:firstLine="420" w:firstLineChars="200"/>
        <w:rPr>
          <w:rFonts w:ascii="宋体" w:hAnsi="宋体" w:cs="宋体"/>
          <w:szCs w:val="21"/>
        </w:rPr>
      </w:pPr>
      <w:r>
        <w:rPr>
          <w:rFonts w:hint="eastAsia" w:ascii="宋体" w:hAnsi="宋体" w:cs="宋体"/>
          <w:szCs w:val="21"/>
        </w:rPr>
        <w:t>（1）由供热式汽轮机组供热：</w:t>
      </w:r>
    </w:p>
    <w:p>
      <w:pPr>
        <w:spacing w:line="360" w:lineRule="exact"/>
        <w:ind w:left="2965" w:leftChars="249" w:hanging="2442" w:hangingChars="1163"/>
        <w:rPr>
          <w:rFonts w:ascii="宋体" w:hAnsi="宋体" w:cs="宋体"/>
          <w:szCs w:val="21"/>
        </w:rPr>
      </w:pPr>
      <w:r>
        <w:rPr>
          <w:rFonts w:hint="eastAsia" w:ascii="宋体" w:hAnsi="宋体" w:cs="宋体"/>
          <w:szCs w:val="21"/>
        </w:rPr>
        <w:t>供热耗用标准煤量（吨）＝发电、供热耗用标准煤量×[供热量（百万千焦）/发电、供热总耗热量（百万千焦）]</w:t>
      </w:r>
    </w:p>
    <w:p>
      <w:pPr>
        <w:spacing w:line="360" w:lineRule="exact"/>
        <w:ind w:firstLine="420" w:firstLineChars="200"/>
        <w:rPr>
          <w:rFonts w:ascii="宋体" w:hAnsi="宋体" w:cs="宋体"/>
          <w:szCs w:val="21"/>
        </w:rPr>
      </w:pPr>
      <w:r>
        <w:rPr>
          <w:rFonts w:hint="eastAsia" w:ascii="宋体" w:hAnsi="宋体" w:cs="宋体"/>
          <w:szCs w:val="21"/>
        </w:rPr>
        <w:t>（2）由锅炉直接供热：</w:t>
      </w:r>
    </w:p>
    <w:p>
      <w:pPr>
        <w:spacing w:line="360" w:lineRule="exact"/>
        <w:ind w:firstLine="420" w:firstLineChars="200"/>
        <w:rPr>
          <w:rFonts w:ascii="宋体" w:hAnsi="宋体" w:cs="宋体"/>
          <w:szCs w:val="21"/>
        </w:rPr>
      </w:pPr>
      <w:r>
        <w:rPr>
          <w:rFonts w:hint="eastAsia" w:ascii="宋体" w:hAnsi="宋体" w:cs="宋体"/>
          <w:szCs w:val="21"/>
        </w:rPr>
        <w:t>供热耗用标准煤量（吨）＝锅炉供热量折标准煤量（吨）/锅炉热效率</w:t>
      </w:r>
    </w:p>
    <w:p>
      <w:pPr>
        <w:spacing w:line="360" w:lineRule="exact"/>
        <w:ind w:firstLine="420" w:firstLineChars="200"/>
        <w:rPr>
          <w:szCs w:val="21"/>
        </w:rPr>
      </w:pPr>
      <w:r>
        <w:rPr>
          <w:szCs w:val="21"/>
        </w:rPr>
        <w:t>分母项：火力发电量。指报告期内火力发电厂生产的电量，扣除试运行期间的电量。</w:t>
      </w:r>
    </w:p>
    <w:p>
      <w:pPr>
        <w:spacing w:line="360" w:lineRule="exact"/>
        <w:ind w:firstLine="420" w:firstLineChars="200"/>
        <w:rPr>
          <w:rFonts w:eastAsia="黑体"/>
          <w:szCs w:val="21"/>
        </w:rPr>
      </w:pPr>
      <w:r>
        <w:rPr>
          <w:rFonts w:eastAsia="黑体"/>
          <w:szCs w:val="21"/>
        </w:rPr>
        <w:t>电厂火力供电标准煤耗</w:t>
      </w:r>
    </w:p>
    <w:p>
      <w:pPr>
        <w:spacing w:line="360" w:lineRule="exact"/>
        <w:ind w:left="5775" w:leftChars="200" w:hanging="5355" w:hangingChars="2550"/>
        <w:rPr>
          <w:szCs w:val="21"/>
        </w:rPr>
      </w:pPr>
      <w:r>
        <w:rPr>
          <w:szCs w:val="21"/>
        </w:rPr>
        <w:t>计算公式：电厂火力供电标准煤耗</w:t>
      </w:r>
      <w:r>
        <w:rPr>
          <w:rFonts w:hint="eastAsia" w:ascii="宋体" w:hAnsi="宋体" w:cs="宋体"/>
          <w:szCs w:val="21"/>
        </w:rPr>
        <w:t>（克标准煤/千瓦时）＝100×发电耗用标准煤量（吨标准煤）/电厂供电量（万千瓦时）</w:t>
      </w:r>
    </w:p>
    <w:p>
      <w:pPr>
        <w:spacing w:line="360" w:lineRule="exact"/>
        <w:ind w:firstLine="420" w:firstLineChars="200"/>
        <w:rPr>
          <w:szCs w:val="21"/>
        </w:rPr>
      </w:pPr>
      <w:r>
        <w:rPr>
          <w:szCs w:val="21"/>
        </w:rPr>
        <w:t>分子项：发电耗用标准煤量。说明同上。</w:t>
      </w:r>
    </w:p>
    <w:p>
      <w:pPr>
        <w:spacing w:line="360" w:lineRule="exact"/>
        <w:ind w:firstLine="420" w:firstLineChars="200"/>
        <w:rPr>
          <w:szCs w:val="21"/>
        </w:rPr>
      </w:pPr>
      <w:r>
        <w:rPr>
          <w:szCs w:val="21"/>
        </w:rPr>
        <w:t>分母项：电厂供电量。即电厂火力发电量减去厂用电量。厂用电量包括电厂动力、照明、通风、取暖及经常维修等用电量，以及其他励磁用电量、设备属于电厂资产并由电厂负责其运行和检修的厂外输油管道系统、循环管道系统和除灰管道系统等用电量。厂用电量既包括本厂生产的电力供本厂生产耗用的电量，也包括购电量中供本厂使用的电量。</w:t>
      </w:r>
    </w:p>
    <w:p>
      <w:pPr>
        <w:spacing w:line="360" w:lineRule="exact"/>
        <w:ind w:firstLine="420" w:firstLineChars="200"/>
        <w:rPr>
          <w:szCs w:val="21"/>
        </w:rPr>
      </w:pPr>
      <w:r>
        <w:rPr>
          <w:szCs w:val="21"/>
        </w:rPr>
        <w:t>厂用电量不包括：</w:t>
      </w:r>
    </w:p>
    <w:p>
      <w:pPr>
        <w:spacing w:line="360" w:lineRule="exact"/>
        <w:ind w:firstLine="420" w:firstLineChars="200"/>
        <w:rPr>
          <w:rFonts w:ascii="宋体" w:hAnsi="宋体" w:cs="宋体"/>
          <w:szCs w:val="21"/>
        </w:rPr>
      </w:pPr>
      <w:r>
        <w:rPr>
          <w:rFonts w:hint="eastAsia" w:ascii="宋体" w:hAnsi="宋体" w:cs="宋体"/>
          <w:szCs w:val="21"/>
        </w:rPr>
        <w:t>（1）新设备或大修后设备的烘炉、煮炉、暖风机、空载运行的用电；</w:t>
      </w:r>
    </w:p>
    <w:p>
      <w:pPr>
        <w:spacing w:line="360" w:lineRule="exact"/>
        <w:ind w:firstLine="420" w:firstLineChars="200"/>
        <w:rPr>
          <w:rFonts w:ascii="宋体" w:hAnsi="宋体" w:cs="宋体"/>
          <w:szCs w:val="21"/>
        </w:rPr>
      </w:pPr>
      <w:r>
        <w:rPr>
          <w:rFonts w:hint="eastAsia" w:ascii="宋体" w:hAnsi="宋体" w:cs="宋体"/>
          <w:szCs w:val="21"/>
        </w:rPr>
        <w:t>（2）新设备在未移交生产前的带负荷试运行期间的用电；</w:t>
      </w:r>
    </w:p>
    <w:p>
      <w:pPr>
        <w:spacing w:line="360" w:lineRule="exact"/>
        <w:ind w:firstLine="420" w:firstLineChars="200"/>
        <w:rPr>
          <w:rFonts w:ascii="宋体" w:hAnsi="宋体" w:cs="宋体"/>
          <w:szCs w:val="21"/>
        </w:rPr>
      </w:pPr>
      <w:r>
        <w:rPr>
          <w:rFonts w:hint="eastAsia" w:ascii="宋体" w:hAnsi="宋体" w:cs="宋体"/>
          <w:szCs w:val="21"/>
        </w:rPr>
        <w:t>（3）计划大修以及基建、更改工程施工用电；</w:t>
      </w:r>
    </w:p>
    <w:p>
      <w:pPr>
        <w:spacing w:line="360" w:lineRule="exact"/>
        <w:ind w:firstLine="420" w:firstLineChars="200"/>
        <w:rPr>
          <w:rFonts w:ascii="宋体" w:hAnsi="宋体" w:cs="宋体"/>
          <w:szCs w:val="21"/>
        </w:rPr>
      </w:pPr>
      <w:r>
        <w:rPr>
          <w:rFonts w:hint="eastAsia" w:ascii="宋体" w:hAnsi="宋体" w:cs="宋体"/>
          <w:szCs w:val="21"/>
        </w:rPr>
        <w:t>（4）发电机作调相运行时的用电；</w:t>
      </w:r>
    </w:p>
    <w:p>
      <w:pPr>
        <w:spacing w:line="360" w:lineRule="exact"/>
        <w:ind w:firstLine="420" w:firstLineChars="200"/>
        <w:rPr>
          <w:rFonts w:ascii="宋体" w:hAnsi="宋体" w:cs="宋体"/>
          <w:szCs w:val="21"/>
        </w:rPr>
      </w:pPr>
      <w:r>
        <w:rPr>
          <w:rFonts w:hint="eastAsia" w:ascii="宋体" w:hAnsi="宋体" w:cs="宋体"/>
          <w:szCs w:val="21"/>
        </w:rPr>
        <w:t>（5）自备机车、船舶等的用电；</w:t>
      </w:r>
    </w:p>
    <w:p>
      <w:pPr>
        <w:spacing w:line="360" w:lineRule="exact"/>
        <w:ind w:firstLine="420" w:firstLineChars="200"/>
        <w:rPr>
          <w:rFonts w:ascii="宋体" w:hAnsi="宋体" w:cs="宋体"/>
          <w:szCs w:val="21"/>
        </w:rPr>
      </w:pPr>
      <w:r>
        <w:rPr>
          <w:rFonts w:hint="eastAsia" w:ascii="宋体" w:hAnsi="宋体" w:cs="宋体"/>
          <w:szCs w:val="21"/>
        </w:rPr>
        <w:t>（6）升、降压变压器（不包括厂用电变压器）、变波机、调相机等的用电；</w:t>
      </w:r>
    </w:p>
    <w:p>
      <w:pPr>
        <w:spacing w:line="360" w:lineRule="exact"/>
        <w:ind w:firstLine="420" w:firstLineChars="200"/>
        <w:rPr>
          <w:szCs w:val="21"/>
        </w:rPr>
      </w:pPr>
      <w:r>
        <w:rPr>
          <w:rFonts w:hint="eastAsia" w:ascii="宋体" w:hAnsi="宋体" w:cs="宋体"/>
          <w:szCs w:val="21"/>
        </w:rPr>
        <w:t>（7）修配车间、车库、副业</w:t>
      </w:r>
      <w:r>
        <w:rPr>
          <w:szCs w:val="21"/>
        </w:rPr>
        <w:t>、综合利用、集体企业、外供及非生产（食堂、宿舍、幼儿园、学校、医院、服务公司和办公室等）的用电。</w:t>
      </w:r>
    </w:p>
    <w:p>
      <w:pPr>
        <w:spacing w:line="360" w:lineRule="exact"/>
        <w:ind w:firstLine="420" w:firstLineChars="200"/>
        <w:rPr>
          <w:rFonts w:eastAsia="黑体"/>
          <w:szCs w:val="21"/>
        </w:rPr>
      </w:pPr>
      <w:r>
        <w:rPr>
          <w:rFonts w:eastAsia="黑体"/>
          <w:szCs w:val="21"/>
        </w:rPr>
        <w:t>发电厂用电率</w:t>
      </w:r>
    </w:p>
    <w:p>
      <w:pPr>
        <w:spacing w:line="360" w:lineRule="exact"/>
        <w:ind w:firstLine="420" w:firstLineChars="200"/>
        <w:rPr>
          <w:rFonts w:ascii="宋体" w:hAnsi="宋体" w:cs="宋体"/>
          <w:szCs w:val="21"/>
        </w:rPr>
      </w:pPr>
      <w:r>
        <w:rPr>
          <w:szCs w:val="21"/>
        </w:rPr>
        <w:t>计算公式：发电厂用电率（</w:t>
      </w:r>
      <w:r>
        <w:rPr>
          <w:rFonts w:hint="eastAsia" w:ascii="宋体" w:hAnsi="宋体" w:cs="宋体"/>
          <w:szCs w:val="21"/>
        </w:rPr>
        <w:t>%）＝发电厂用电量（万千瓦时）/发电量（万千瓦时）×100%</w:t>
      </w:r>
    </w:p>
    <w:p>
      <w:pPr>
        <w:spacing w:line="360" w:lineRule="exact"/>
        <w:ind w:firstLine="420" w:firstLineChars="200"/>
        <w:rPr>
          <w:rFonts w:ascii="宋体" w:hAnsi="宋体" w:cs="宋体"/>
          <w:szCs w:val="21"/>
        </w:rPr>
      </w:pPr>
      <w:r>
        <w:rPr>
          <w:szCs w:val="21"/>
        </w:rPr>
        <w:t>发电量、发电厂用电量说明同上。</w:t>
      </w:r>
    </w:p>
    <w:p>
      <w:pPr>
        <w:snapToGrid w:val="0"/>
        <w:spacing w:beforeLines="200" w:afterLines="100" w:line="360" w:lineRule="exact"/>
        <w:jc w:val="center"/>
        <w:outlineLvl w:val="1"/>
        <w:rPr>
          <w:rFonts w:eastAsia="黑体"/>
          <w:sz w:val="28"/>
          <w:szCs w:val="28"/>
        </w:rPr>
      </w:pPr>
      <w:r>
        <w:rPr>
          <w:rFonts w:eastAsia="黑体"/>
          <w:sz w:val="28"/>
          <w:szCs w:val="28"/>
        </w:rPr>
        <w:t>（四）工业企业用水情况（</w:t>
      </w:r>
      <w:r>
        <w:rPr>
          <w:rFonts w:hint="eastAsia" w:ascii="宋体" w:hAnsi="宋体" w:cs="宋体"/>
          <w:sz w:val="28"/>
          <w:szCs w:val="28"/>
        </w:rPr>
        <w:t>205-4</w:t>
      </w:r>
      <w:r>
        <w:rPr>
          <w:rFonts w:eastAsia="黑体"/>
          <w:sz w:val="28"/>
          <w:szCs w:val="28"/>
        </w:rPr>
        <w:t>表）</w:t>
      </w:r>
    </w:p>
    <w:p>
      <w:pPr>
        <w:spacing w:line="360" w:lineRule="exact"/>
        <w:ind w:firstLine="420" w:firstLineChars="200"/>
        <w:rPr>
          <w:szCs w:val="21"/>
        </w:rPr>
      </w:pPr>
      <w:r>
        <w:rPr>
          <w:rFonts w:eastAsia="黑体"/>
          <w:szCs w:val="21"/>
        </w:rPr>
        <w:t>取水量</w:t>
      </w:r>
      <w:r>
        <w:rPr>
          <w:rFonts w:eastAsia="仿宋_GB2312"/>
          <w:szCs w:val="21"/>
        </w:rPr>
        <w:t xml:space="preserve">  </w:t>
      </w:r>
      <w:r>
        <w:rPr>
          <w:szCs w:val="21"/>
        </w:rPr>
        <w:t>指企业从各种水源直接提取或者从市场购买的用于厂区、办公区内工业生产活动的水量，以实际获得的新水量为准。</w:t>
      </w:r>
    </w:p>
    <w:p>
      <w:pPr>
        <w:spacing w:line="406" w:lineRule="exact"/>
        <w:ind w:firstLine="420" w:firstLineChars="200"/>
        <w:rPr>
          <w:szCs w:val="21"/>
        </w:rPr>
      </w:pPr>
      <w:r>
        <w:rPr>
          <w:szCs w:val="21"/>
        </w:rPr>
        <w:t>用于工业生产活动的水量，包括主要生产用水、辅助生产用水（如机修、运输、空压站等）和附属生产用水（如绿化、办公室、浴室、食堂、厕所、保健站等），不包括非工业生产单位的用水量（如基建用水、厂内居民家庭用水和企业附属幼儿园、学校、对外营业的浴室、游泳池等的用水量）和居民生活用水量。</w:t>
      </w:r>
    </w:p>
    <w:p>
      <w:pPr>
        <w:spacing w:line="406" w:lineRule="exact"/>
        <w:ind w:firstLine="420" w:firstLineChars="200"/>
        <w:rPr>
          <w:szCs w:val="21"/>
        </w:rPr>
      </w:pPr>
      <w:r>
        <w:rPr>
          <w:szCs w:val="21"/>
        </w:rPr>
        <w:t>取水量包括企业取自地表、地下、城镇供水工程的水，外购的再生水</w:t>
      </w:r>
      <w:r>
        <w:rPr>
          <w:rFonts w:hint="eastAsia"/>
          <w:szCs w:val="21"/>
        </w:rPr>
        <w:t>（</w:t>
      </w:r>
      <w:r>
        <w:rPr>
          <w:szCs w:val="21"/>
        </w:rPr>
        <w:t>中水</w:t>
      </w:r>
      <w:r>
        <w:rPr>
          <w:rFonts w:hint="eastAsia"/>
          <w:szCs w:val="21"/>
        </w:rPr>
        <w:t>）</w:t>
      </w:r>
      <w:r>
        <w:rPr>
          <w:szCs w:val="21"/>
        </w:rPr>
        <w:t>、其他水或水的产品，以及企业为生产外供水或水产品而取用的水。不包括重复用水量、直流冷却水量、未利用直接排放的矿井水和雨水量、</w:t>
      </w:r>
      <w:r>
        <w:rPr>
          <w:rFonts w:hint="eastAsia"/>
          <w:szCs w:val="21"/>
        </w:rPr>
        <w:t>有</w:t>
      </w:r>
      <w:r>
        <w:rPr>
          <w:szCs w:val="21"/>
        </w:rPr>
        <w:t>污水处理</w:t>
      </w:r>
      <w:r>
        <w:rPr>
          <w:rFonts w:hint="eastAsia"/>
          <w:szCs w:val="21"/>
        </w:rPr>
        <w:t>设备的</w:t>
      </w:r>
      <w:r>
        <w:rPr>
          <w:szCs w:val="21"/>
        </w:rPr>
        <w:t>企业处理的污（废）水量、水力发电动力用水量。</w:t>
      </w:r>
    </w:p>
    <w:p>
      <w:pPr>
        <w:spacing w:line="406" w:lineRule="exact"/>
        <w:ind w:firstLine="420" w:firstLineChars="200"/>
        <w:rPr>
          <w:szCs w:val="21"/>
        </w:rPr>
      </w:pPr>
      <w:r>
        <w:rPr>
          <w:rFonts w:eastAsia="黑体"/>
          <w:szCs w:val="21"/>
        </w:rPr>
        <w:t>外供水量</w:t>
      </w:r>
      <w:r>
        <w:rPr>
          <w:rFonts w:eastAsia="仿宋_GB2312"/>
          <w:szCs w:val="21"/>
        </w:rPr>
        <w:t xml:space="preserve"> </w:t>
      </w:r>
      <w:r>
        <w:rPr>
          <w:szCs w:val="21"/>
        </w:rPr>
        <w:t xml:space="preserve"> 指企业外供给其他单位的水或水产品的量，以离厂水量为准。包括外供给其他企业或市场的原水、自来水、海水淡化水、矿泉水、纯净水等。不包括直流冷却水量、再生水（中水）、未利用直接排放的矿井水和雨水量、北方地区供暖企业供给城镇热力网内循环的热水量、进入城镇污水管网和直接排到自然环境中的水量。</w:t>
      </w:r>
    </w:p>
    <w:p>
      <w:pPr>
        <w:spacing w:line="406" w:lineRule="exact"/>
        <w:ind w:firstLine="420" w:firstLineChars="200"/>
        <w:rPr>
          <w:szCs w:val="21"/>
        </w:rPr>
      </w:pPr>
      <w:r>
        <w:rPr>
          <w:rFonts w:eastAsia="黑体"/>
          <w:szCs w:val="21"/>
        </w:rPr>
        <w:t>地表淡水</w:t>
      </w:r>
      <w:r>
        <w:rPr>
          <w:rFonts w:eastAsia="仿宋_GB2312"/>
          <w:szCs w:val="21"/>
        </w:rPr>
        <w:t xml:space="preserve"> </w:t>
      </w:r>
      <w:r>
        <w:rPr>
          <w:szCs w:val="21"/>
        </w:rPr>
        <w:t xml:space="preserve"> 指陆地表面形成的径流及地表贮存的淡水。包括江、河、淡水湖、水库等。</w:t>
      </w:r>
    </w:p>
    <w:p>
      <w:pPr>
        <w:spacing w:line="406" w:lineRule="exact"/>
        <w:ind w:firstLine="420" w:firstLineChars="200"/>
        <w:rPr>
          <w:rFonts w:eastAsia="仿宋_GB2312"/>
          <w:szCs w:val="21"/>
        </w:rPr>
      </w:pPr>
      <w:r>
        <w:rPr>
          <w:rFonts w:eastAsia="黑体"/>
          <w:szCs w:val="21"/>
        </w:rPr>
        <w:t>地下淡水</w:t>
      </w:r>
      <w:r>
        <w:rPr>
          <w:rFonts w:eastAsia="仿宋_GB2312"/>
          <w:szCs w:val="21"/>
        </w:rPr>
        <w:t xml:space="preserve">  </w:t>
      </w:r>
      <w:r>
        <w:rPr>
          <w:szCs w:val="21"/>
        </w:rPr>
        <w:t>指地下径流或埋藏于地下的，经过提取可被利用的淡水。包括井水、地热水等。</w:t>
      </w:r>
    </w:p>
    <w:p>
      <w:pPr>
        <w:spacing w:line="406" w:lineRule="exact"/>
        <w:ind w:firstLine="420" w:firstLineChars="200"/>
        <w:rPr>
          <w:szCs w:val="21"/>
        </w:rPr>
      </w:pPr>
      <w:r>
        <w:rPr>
          <w:rFonts w:eastAsia="黑体"/>
          <w:szCs w:val="21"/>
        </w:rPr>
        <w:t>自来水</w:t>
      </w:r>
      <w:r>
        <w:rPr>
          <w:rFonts w:eastAsia="仿宋_GB2312"/>
          <w:szCs w:val="21"/>
        </w:rPr>
        <w:t xml:space="preserve">  </w:t>
      </w:r>
      <w:r>
        <w:rPr>
          <w:szCs w:val="21"/>
        </w:rPr>
        <w:t>指自来水厂将地表淡水、地下淡水经过“混凝、沉淀、过滤、消毒”等净水工序，达到国家饮用水标准，通过城镇自来水管网供给工业生产、居民生活使用的水。</w:t>
      </w:r>
    </w:p>
    <w:p>
      <w:pPr>
        <w:spacing w:line="406" w:lineRule="exact"/>
        <w:ind w:firstLine="420" w:firstLineChars="200"/>
        <w:rPr>
          <w:szCs w:val="21"/>
        </w:rPr>
      </w:pPr>
      <w:r>
        <w:rPr>
          <w:rFonts w:eastAsia="黑体"/>
          <w:szCs w:val="21"/>
        </w:rPr>
        <w:t>海水</w:t>
      </w:r>
      <w:r>
        <w:rPr>
          <w:rFonts w:eastAsia="仿宋_GB2312"/>
          <w:szCs w:val="21"/>
        </w:rPr>
        <w:t xml:space="preserve">  </w:t>
      </w:r>
      <w:r>
        <w:rPr>
          <w:szCs w:val="21"/>
        </w:rPr>
        <w:t>指海洋的水。海水的取水量包括企业用来淡化、制盐、化工生产等海水资源利用所提取的海水量，以及用于海水循环冷却补充水、脱硫、洗涤、除尘、冲渣、印染等的海水直接利用量，不包括海水直流冷却水量。</w:t>
      </w:r>
    </w:p>
    <w:p>
      <w:pPr>
        <w:spacing w:line="406" w:lineRule="exact"/>
        <w:ind w:firstLine="420" w:firstLineChars="200"/>
        <w:rPr>
          <w:szCs w:val="21"/>
        </w:rPr>
      </w:pPr>
      <w:r>
        <w:rPr>
          <w:rFonts w:eastAsia="黑体"/>
          <w:szCs w:val="21"/>
        </w:rPr>
        <w:t>陆地苦咸水</w:t>
      </w:r>
      <w:r>
        <w:rPr>
          <w:rFonts w:eastAsia="仿宋_GB2312"/>
          <w:szCs w:val="21"/>
        </w:rPr>
        <w:t xml:space="preserve"> </w:t>
      </w:r>
      <w:r>
        <w:rPr>
          <w:szCs w:val="21"/>
        </w:rPr>
        <w:t xml:space="preserve"> 指存在于陆地地表或地下，含盐量大于</w:t>
      </w:r>
      <w:r>
        <w:rPr>
          <w:rFonts w:hint="eastAsia" w:ascii="宋体" w:hAnsi="宋体" w:cs="宋体"/>
          <w:szCs w:val="21"/>
        </w:rPr>
        <w:t>1</w:t>
      </w:r>
      <w:r>
        <w:rPr>
          <w:szCs w:val="21"/>
        </w:rPr>
        <w:t>克</w:t>
      </w:r>
      <w:r>
        <w:rPr>
          <w:rFonts w:hint="eastAsia" w:ascii="宋体" w:hAnsi="宋体" w:cs="宋体"/>
          <w:szCs w:val="21"/>
        </w:rPr>
        <w:t>/</w:t>
      </w:r>
      <w:r>
        <w:rPr>
          <w:szCs w:val="21"/>
        </w:rPr>
        <w:t>升的水。包括微咸水、咸水湖和地下的咸水。不包括海水。</w:t>
      </w:r>
    </w:p>
    <w:p>
      <w:pPr>
        <w:spacing w:line="406" w:lineRule="exact"/>
        <w:ind w:firstLine="420" w:firstLineChars="200"/>
        <w:rPr>
          <w:szCs w:val="21"/>
        </w:rPr>
      </w:pPr>
      <w:r>
        <w:rPr>
          <w:rFonts w:eastAsia="黑体"/>
          <w:szCs w:val="21"/>
        </w:rPr>
        <w:t>矿井水</w:t>
      </w:r>
      <w:r>
        <w:rPr>
          <w:rFonts w:eastAsia="仿宋_GB2312"/>
          <w:szCs w:val="21"/>
        </w:rPr>
        <w:t xml:space="preserve">  </w:t>
      </w:r>
      <w:r>
        <w:rPr>
          <w:szCs w:val="21"/>
        </w:rPr>
        <w:t>指在采矿过程中，由于矿床开采破坏了地下水原始赋存状态而产生导水裂隙，使周围水沿着原有的和新的裂隙渗入井下采掘空间进而形成的矿井涌水。收集、处理并已利用的矿井水填报取水量，未利用直接排放的矿井水不填报取水量、外供水量、外排水量。</w:t>
      </w:r>
    </w:p>
    <w:p>
      <w:pPr>
        <w:spacing w:line="406" w:lineRule="exact"/>
        <w:ind w:firstLine="420" w:firstLineChars="200"/>
        <w:rPr>
          <w:szCs w:val="21"/>
        </w:rPr>
      </w:pPr>
      <w:r>
        <w:rPr>
          <w:rFonts w:eastAsia="黑体"/>
          <w:szCs w:val="21"/>
        </w:rPr>
        <w:t>雨水</w:t>
      </w:r>
      <w:r>
        <w:rPr>
          <w:rFonts w:eastAsia="仿宋_GB2312"/>
          <w:szCs w:val="21"/>
        </w:rPr>
        <w:t xml:space="preserve">  </w:t>
      </w:r>
      <w:r>
        <w:rPr>
          <w:szCs w:val="21"/>
        </w:rPr>
        <w:t>指通过集雨工程积蓄处理后被工业利用的雨水。雨水的取水量不包括天降雨、雪后流到江河、湖泊、水库中的水，以及未经利用通过厂区内排水管道直接排放的雨水。</w:t>
      </w:r>
    </w:p>
    <w:p>
      <w:pPr>
        <w:spacing w:line="406" w:lineRule="exact"/>
        <w:ind w:firstLine="420" w:firstLineChars="200"/>
        <w:rPr>
          <w:szCs w:val="21"/>
        </w:rPr>
      </w:pPr>
      <w:r>
        <w:rPr>
          <w:rFonts w:eastAsia="黑体"/>
          <w:szCs w:val="21"/>
        </w:rPr>
        <w:t>再生水（中水）</w:t>
      </w:r>
      <w:r>
        <w:rPr>
          <w:rFonts w:eastAsia="仿宋_GB2312"/>
          <w:szCs w:val="21"/>
        </w:rPr>
        <w:t xml:space="preserve"> </w:t>
      </w:r>
      <w:r>
        <w:rPr>
          <w:szCs w:val="21"/>
        </w:rPr>
        <w:t xml:space="preserve"> 指以污（废）水为水源，经再生工艺净化处理后水质达到再利用标准的水。再生水（中水）不填报外供量。有再生水（中水）取水的单位填报再生水（中水）的取水量。</w:t>
      </w:r>
    </w:p>
    <w:p>
      <w:pPr>
        <w:spacing w:line="406" w:lineRule="exact"/>
        <w:ind w:firstLine="420" w:firstLineChars="200"/>
        <w:rPr>
          <w:rFonts w:eastAsia="仿宋_GB2312"/>
          <w:szCs w:val="21"/>
        </w:rPr>
      </w:pPr>
      <w:r>
        <w:rPr>
          <w:rFonts w:eastAsia="黑体"/>
          <w:szCs w:val="21"/>
        </w:rPr>
        <w:t>海水淡化水</w:t>
      </w:r>
      <w:r>
        <w:rPr>
          <w:szCs w:val="21"/>
        </w:rPr>
        <w:t xml:space="preserve">  指经过特定生产工艺去除海水中的盐分后得到的淡化水。</w:t>
      </w:r>
    </w:p>
    <w:p>
      <w:pPr>
        <w:spacing w:line="406" w:lineRule="exact"/>
        <w:ind w:firstLine="420" w:firstLineChars="200"/>
        <w:rPr>
          <w:szCs w:val="21"/>
        </w:rPr>
      </w:pPr>
      <w:r>
        <w:rPr>
          <w:rFonts w:eastAsia="黑体"/>
          <w:szCs w:val="21"/>
        </w:rPr>
        <w:t>其他水</w:t>
      </w:r>
      <w:r>
        <w:rPr>
          <w:rFonts w:eastAsia="仿宋_GB2312"/>
          <w:szCs w:val="21"/>
        </w:rPr>
        <w:t xml:space="preserve">  </w:t>
      </w:r>
      <w:r>
        <w:rPr>
          <w:szCs w:val="21"/>
        </w:rPr>
        <w:t>指上述水资源品种没有涵盖的，或者界定不清的水及水的产品。包括软化水、除盐水、蒸汽（需折算成同等质量的水）、蒸汽冷凝水、管道供应的热水（不含北方地区城镇热力网内循环的热水）、瓶（桶）装纯净水、矿泉水、经过初步处理未达到自来水标准的水。不包括地热水、碳酸饮料、茶饮料、果汁饮料、酒类、污（废）水。</w:t>
      </w:r>
    </w:p>
    <w:p>
      <w:pPr>
        <w:spacing w:line="406" w:lineRule="exact"/>
        <w:ind w:firstLine="420" w:firstLineChars="200"/>
        <w:rPr>
          <w:szCs w:val="21"/>
        </w:rPr>
      </w:pPr>
      <w:r>
        <w:rPr>
          <w:rFonts w:eastAsia="黑体"/>
          <w:szCs w:val="21"/>
        </w:rPr>
        <w:t>外排水量</w:t>
      </w:r>
      <w:r>
        <w:rPr>
          <w:rFonts w:eastAsia="仿宋_GB2312"/>
          <w:szCs w:val="21"/>
        </w:rPr>
        <w:t xml:space="preserve"> </w:t>
      </w:r>
      <w:r>
        <w:rPr>
          <w:szCs w:val="21"/>
        </w:rPr>
        <w:t xml:space="preserve"> 指完成生产过程和生产活动之后，经过企业厂区、办公区所有排水口排到企业外部的水量。包括进入城镇污水管网的污（废）水量、直接排到自然环境中的水量。不包括外供水量、直流冷却水量、未利用就直接排放的矿井水量。</w:t>
      </w:r>
    </w:p>
    <w:p>
      <w:pPr>
        <w:spacing w:line="406" w:lineRule="exact"/>
        <w:ind w:firstLine="420" w:firstLineChars="200"/>
        <w:rPr>
          <w:szCs w:val="21"/>
        </w:rPr>
      </w:pPr>
      <w:r>
        <w:rPr>
          <w:szCs w:val="21"/>
        </w:rPr>
        <w:t>外排水量计算方法：</w:t>
      </w:r>
    </w:p>
    <w:p>
      <w:pPr>
        <w:spacing w:line="406" w:lineRule="exact"/>
        <w:ind w:firstLine="420" w:firstLineChars="200"/>
        <w:rPr>
          <w:szCs w:val="21"/>
        </w:rPr>
      </w:pPr>
      <w:r>
        <w:rPr>
          <w:rFonts w:hint="eastAsia" w:ascii="宋体" w:hAnsi="宋体" w:cs="宋体"/>
          <w:szCs w:val="21"/>
        </w:rPr>
        <w:t>1.</w:t>
      </w:r>
      <w:r>
        <w:rPr>
          <w:szCs w:val="21"/>
        </w:rPr>
        <w:t>实测法</w:t>
      </w:r>
    </w:p>
    <w:p>
      <w:pPr>
        <w:spacing w:line="406" w:lineRule="exact"/>
        <w:ind w:firstLine="420" w:firstLineChars="200"/>
        <w:rPr>
          <w:szCs w:val="21"/>
        </w:rPr>
      </w:pPr>
      <w:r>
        <w:rPr>
          <w:szCs w:val="21"/>
        </w:rPr>
        <w:t>企业排水口有计量装置，按照计量装置的计量数据计算外排水量。</w:t>
      </w:r>
    </w:p>
    <w:p>
      <w:pPr>
        <w:spacing w:line="406" w:lineRule="exact"/>
        <w:ind w:firstLine="420" w:firstLineChars="200"/>
        <w:rPr>
          <w:szCs w:val="21"/>
        </w:rPr>
      </w:pPr>
      <w:r>
        <w:rPr>
          <w:rFonts w:hint="eastAsia" w:ascii="宋体" w:hAnsi="宋体" w:cs="宋体"/>
          <w:szCs w:val="21"/>
        </w:rPr>
        <w:t>2.</w:t>
      </w:r>
      <w:r>
        <w:rPr>
          <w:szCs w:val="21"/>
        </w:rPr>
        <w:t>排放系数法</w:t>
      </w:r>
    </w:p>
    <w:p>
      <w:pPr>
        <w:spacing w:line="406" w:lineRule="exact"/>
        <w:ind w:firstLine="420" w:firstLineChars="200"/>
        <w:rPr>
          <w:szCs w:val="21"/>
        </w:rPr>
      </w:pPr>
      <w:r>
        <w:rPr>
          <w:szCs w:val="21"/>
        </w:rPr>
        <w:t>外排水量＝（取水量合计－外供水量合计）</w:t>
      </w:r>
      <w:r>
        <w:rPr>
          <w:rFonts w:hint="eastAsia" w:ascii="宋体" w:hAnsi="宋体" w:cs="宋体"/>
          <w:szCs w:val="21"/>
        </w:rPr>
        <w:t>×</w:t>
      </w:r>
      <w:r>
        <w:rPr>
          <w:szCs w:val="21"/>
        </w:rPr>
        <w:t>排放系数。</w:t>
      </w:r>
    </w:p>
    <w:p>
      <w:pPr>
        <w:spacing w:line="406" w:lineRule="exact"/>
        <w:ind w:firstLine="420" w:firstLineChars="200"/>
        <w:rPr>
          <w:szCs w:val="21"/>
        </w:rPr>
      </w:pPr>
      <w:r>
        <w:rPr>
          <w:szCs w:val="21"/>
        </w:rPr>
        <w:t>不同类型的工业企业排放系数数值有所不同，一般在</w:t>
      </w:r>
      <w:r>
        <w:rPr>
          <w:rFonts w:hint="eastAsia" w:ascii="宋体" w:hAnsi="宋体" w:cs="宋体"/>
          <w:szCs w:val="21"/>
        </w:rPr>
        <w:t>0.6至0.9</w:t>
      </w:r>
      <w:r>
        <w:rPr>
          <w:szCs w:val="21"/>
        </w:rPr>
        <w:t>范围内取值。</w:t>
      </w:r>
    </w:p>
    <w:p>
      <w:pPr>
        <w:spacing w:line="406" w:lineRule="exact"/>
        <w:ind w:firstLine="420" w:firstLineChars="200"/>
        <w:rPr>
          <w:szCs w:val="21"/>
        </w:rPr>
      </w:pPr>
      <w:r>
        <w:rPr>
          <w:rFonts w:hint="eastAsia" w:ascii="宋体" w:hAnsi="宋体" w:cs="宋体"/>
          <w:szCs w:val="21"/>
        </w:rPr>
        <w:t>3.</w:t>
      </w:r>
      <w:r>
        <w:rPr>
          <w:szCs w:val="21"/>
        </w:rPr>
        <w:t>物料衡算法</w:t>
      </w:r>
    </w:p>
    <w:p>
      <w:pPr>
        <w:spacing w:line="406" w:lineRule="exact"/>
        <w:ind w:firstLine="420" w:firstLineChars="200"/>
        <w:rPr>
          <w:szCs w:val="21"/>
        </w:rPr>
      </w:pPr>
      <w:r>
        <w:rPr>
          <w:szCs w:val="21"/>
        </w:rPr>
        <w:t>外排水量＝（取水量合计－外供水量合计）－（产品带走水量＋漏失水量＋蒸发水量＋其他损失量）。</w:t>
      </w:r>
    </w:p>
    <w:p>
      <w:pPr>
        <w:spacing w:line="406" w:lineRule="exact"/>
        <w:ind w:firstLine="420" w:firstLineChars="200"/>
        <w:rPr>
          <w:szCs w:val="21"/>
        </w:rPr>
      </w:pPr>
      <w:r>
        <w:rPr>
          <w:szCs w:val="21"/>
        </w:rPr>
        <w:t>企业排水口有计量装置，按照实测法计算外排水量。企业排水口无计量装置，按照排放系数法或者物料衡算法计算外排水量。</w:t>
      </w:r>
    </w:p>
    <w:p>
      <w:pPr>
        <w:spacing w:line="406" w:lineRule="exact"/>
        <w:ind w:firstLine="420" w:firstLineChars="200"/>
        <w:rPr>
          <w:szCs w:val="21"/>
        </w:rPr>
      </w:pPr>
      <w:r>
        <w:rPr>
          <w:rFonts w:eastAsia="黑体"/>
          <w:szCs w:val="21"/>
        </w:rPr>
        <w:t>重复用水量</w:t>
      </w:r>
      <w:r>
        <w:rPr>
          <w:rFonts w:eastAsia="仿宋_GB2312"/>
          <w:szCs w:val="21"/>
        </w:rPr>
        <w:t xml:space="preserve"> </w:t>
      </w:r>
      <w:r>
        <w:rPr>
          <w:szCs w:val="21"/>
        </w:rPr>
        <w:t xml:space="preserve"> 指在确定的用水单元或系统内，所有未经处理和处理后又重复使用的水量总和。</w:t>
      </w:r>
    </w:p>
    <w:p>
      <w:pPr>
        <w:spacing w:line="406" w:lineRule="exact"/>
        <w:ind w:firstLine="420" w:firstLineChars="200"/>
        <w:rPr>
          <w:szCs w:val="21"/>
        </w:rPr>
      </w:pPr>
      <w:r>
        <w:rPr>
          <w:szCs w:val="21"/>
        </w:rPr>
        <w:t>满足下列任意一种情况，即可视为重复用水：</w:t>
      </w:r>
    </w:p>
    <w:p>
      <w:pPr>
        <w:spacing w:line="406" w:lineRule="exact"/>
        <w:ind w:firstLine="420" w:firstLineChars="200"/>
        <w:rPr>
          <w:szCs w:val="21"/>
        </w:rPr>
      </w:pPr>
      <w:r>
        <w:rPr>
          <w:rFonts w:hint="eastAsia" w:ascii="宋体" w:hAnsi="宋体" w:cs="宋体"/>
          <w:szCs w:val="21"/>
        </w:rPr>
        <w:t>1.</w:t>
      </w:r>
      <w:r>
        <w:rPr>
          <w:szCs w:val="21"/>
        </w:rPr>
        <w:t>循环水：指在确定的用水单元或系统内，生产过程中已用过、再循环用于同一过程的水。例如火力发电企业的循环冷却水。循环水量循环使用一次计算一次，根据循环水泵的流量乘以工作时间计算。</w:t>
      </w:r>
    </w:p>
    <w:p>
      <w:pPr>
        <w:spacing w:line="406" w:lineRule="exact"/>
        <w:ind w:firstLine="420" w:firstLineChars="200"/>
        <w:rPr>
          <w:szCs w:val="21"/>
        </w:rPr>
      </w:pPr>
      <w:r>
        <w:rPr>
          <w:rFonts w:hint="eastAsia" w:ascii="宋体" w:hAnsi="宋体" w:cs="宋体"/>
          <w:szCs w:val="21"/>
        </w:rPr>
        <w:t>2.</w:t>
      </w:r>
      <w:r>
        <w:rPr>
          <w:szCs w:val="21"/>
        </w:rPr>
        <w:t>串联水：指在确定的用水单元或系统，由生产过程中产生的或使用后、再用于另一单元或系统的水。例如先用于冷却再用于洗涤的水；生产过程中产生的，用于烟气脱硫、冲渣（灰）的水。串联水量重复使用一次计算一次。</w:t>
      </w:r>
    </w:p>
    <w:p>
      <w:pPr>
        <w:spacing w:line="406" w:lineRule="exact"/>
        <w:ind w:firstLine="420" w:firstLineChars="200"/>
        <w:rPr>
          <w:szCs w:val="21"/>
        </w:rPr>
      </w:pPr>
      <w:r>
        <w:rPr>
          <w:rFonts w:hint="eastAsia" w:ascii="宋体" w:hAnsi="宋体" w:cs="宋体"/>
          <w:szCs w:val="21"/>
        </w:rPr>
        <w:t>3.</w:t>
      </w:r>
      <w:r>
        <w:rPr>
          <w:szCs w:val="21"/>
        </w:rPr>
        <w:t>回用水：指企业产生的，没有排放而是直接或经处理后再利用于某一用水单元或系统的水。例如收集回用的蒸汽冷凝水，生产活动产生的、净化后回用的污（废）水，自来水厂冲洗沉淀池、滤池再处理后回用的水。回用水量回用一次计算一次。</w:t>
      </w:r>
    </w:p>
    <w:p>
      <w:pPr>
        <w:spacing w:line="406" w:lineRule="exact"/>
        <w:ind w:firstLine="420" w:firstLineChars="200"/>
        <w:rPr>
          <w:szCs w:val="21"/>
        </w:rPr>
      </w:pPr>
      <w:r>
        <w:rPr>
          <w:szCs w:val="21"/>
        </w:rPr>
        <w:t>重复用水量不包括北方地区城镇热力网内循环的热水、火力发电设备内进行汽水循环的除盐水。</w:t>
      </w:r>
    </w:p>
    <w:p>
      <w:pPr>
        <w:spacing w:line="406" w:lineRule="exact"/>
        <w:ind w:firstLine="420" w:firstLineChars="200"/>
        <w:rPr>
          <w:szCs w:val="21"/>
        </w:rPr>
      </w:pPr>
      <w:r>
        <w:rPr>
          <w:rFonts w:eastAsia="黑体"/>
          <w:szCs w:val="21"/>
        </w:rPr>
        <w:t>直流冷却水量</w:t>
      </w:r>
      <w:r>
        <w:rPr>
          <w:rFonts w:eastAsia="仿宋_GB2312"/>
          <w:szCs w:val="21"/>
        </w:rPr>
        <w:t xml:space="preserve">  </w:t>
      </w:r>
      <w:r>
        <w:rPr>
          <w:szCs w:val="21"/>
        </w:rPr>
        <w:t>指企业取自河流、水库、湖泊、海洋，经一次使用后，直接排放回河流、水库、湖泊、海洋的冷却水量，多见于火（核）电企业。直流冷却水不填报取水量、外供水量、外排水量。企业从直流冷却水系统中取水用做其他用途，则该部分应计入取水量。</w:t>
      </w:r>
    </w:p>
    <w:p>
      <w:pPr>
        <w:spacing w:line="406" w:lineRule="exact"/>
        <w:ind w:firstLine="420" w:firstLineChars="200"/>
        <w:rPr>
          <w:szCs w:val="21"/>
        </w:rPr>
      </w:pPr>
      <w:r>
        <w:rPr>
          <w:szCs w:val="21"/>
        </w:rPr>
        <w:t>利用河、湖、水库等的淡水进行直流冷却填报直流冷却水量（河湖水），利用海水进行直流冷却填报直流冷却水量（海水）。</w:t>
      </w:r>
    </w:p>
    <w:p>
      <w:pPr>
        <w:spacing w:line="406" w:lineRule="exact"/>
        <w:ind w:firstLine="420" w:firstLineChars="200"/>
        <w:rPr>
          <w:rFonts w:eastAsia="黑体"/>
          <w:b/>
          <w:bCs/>
        </w:rPr>
      </w:pPr>
      <w:r>
        <w:rPr>
          <w:rFonts w:eastAsia="黑体"/>
          <w:szCs w:val="21"/>
        </w:rPr>
        <w:t>污水处理量</w:t>
      </w:r>
      <w:r>
        <w:rPr>
          <w:rFonts w:eastAsia="仿宋_GB2312"/>
          <w:szCs w:val="21"/>
        </w:rPr>
        <w:t xml:space="preserve"> </w:t>
      </w:r>
      <w:r>
        <w:rPr>
          <w:szCs w:val="21"/>
        </w:rPr>
        <w:t xml:space="preserve"> </w:t>
      </w:r>
      <w:r>
        <w:rPr>
          <w:rFonts w:hint="eastAsia"/>
          <w:szCs w:val="21"/>
        </w:rPr>
        <w:t>指有污水处理设备的企业实际处理的污（废）水量，包括取自企业外部和本企业产生的污（废）水。</w:t>
      </w:r>
    </w:p>
    <w:p>
      <w:pPr>
        <w:spacing w:beforeLines="200" w:afterLines="100" w:line="360" w:lineRule="exact"/>
        <w:jc w:val="center"/>
        <w:outlineLvl w:val="1"/>
        <w:rPr>
          <w:rFonts w:eastAsia="黑体"/>
          <w:sz w:val="28"/>
          <w:szCs w:val="28"/>
        </w:rPr>
      </w:pPr>
      <w:r>
        <w:rPr>
          <w:rFonts w:eastAsia="黑体"/>
          <w:sz w:val="28"/>
          <w:szCs w:val="28"/>
        </w:rPr>
        <w:t>（五）非工业重点耗能单位能源消费情况（</w:t>
      </w:r>
      <w:r>
        <w:rPr>
          <w:rFonts w:hint="eastAsia" w:ascii="宋体" w:hAnsi="宋体" w:cs="宋体"/>
          <w:sz w:val="28"/>
          <w:szCs w:val="28"/>
        </w:rPr>
        <w:t>205-5</w:t>
      </w:r>
      <w:r>
        <w:rPr>
          <w:rFonts w:eastAsia="黑体"/>
          <w:sz w:val="28"/>
          <w:szCs w:val="28"/>
        </w:rPr>
        <w:t>表）</w:t>
      </w:r>
    </w:p>
    <w:p>
      <w:pPr>
        <w:spacing w:line="360" w:lineRule="exact"/>
        <w:ind w:right="-38" w:firstLine="420"/>
        <w:rPr>
          <w:rFonts w:ascii="宋体" w:hAnsi="宋体" w:cs="宋体"/>
          <w:szCs w:val="21"/>
        </w:rPr>
      </w:pPr>
      <w:r>
        <w:rPr>
          <w:rFonts w:eastAsia="黑体"/>
          <w:bCs/>
          <w:szCs w:val="21"/>
        </w:rPr>
        <w:t>非工业企业能源消费量</w:t>
      </w:r>
      <w:r>
        <w:rPr>
          <w:bCs/>
          <w:szCs w:val="21"/>
        </w:rPr>
        <w:t xml:space="preserve">  </w:t>
      </w:r>
      <w:r>
        <w:rPr>
          <w:rFonts w:hint="eastAsia" w:ascii="宋体" w:hAnsi="宋体" w:cs="宋体"/>
          <w:bCs/>
          <w:szCs w:val="21"/>
        </w:rPr>
        <w:t>指不是工业企业的法人单位所消费的各种能源，</w:t>
      </w:r>
      <w:r>
        <w:rPr>
          <w:rFonts w:hint="eastAsia" w:ascii="宋体" w:hAnsi="宋体" w:cs="宋体"/>
          <w:szCs w:val="21"/>
        </w:rPr>
        <w:t>具体指建筑业和服务业的企事业法人单位。其能源消费主要包括：（1）用于生产经营活动的能源；（2）用于技术更新改造措施、新技术研究以及科学试验等方面的能源；（3）用于经营维修、建筑及设备大修理、机电设备和交通运输工具等方面的能源；（4）用于劳动保护的能源；（5）其他非生产消费的能源。</w:t>
      </w:r>
    </w:p>
    <w:p>
      <w:pPr>
        <w:spacing w:line="360" w:lineRule="exact"/>
        <w:ind w:right="-38" w:firstLine="420"/>
        <w:rPr>
          <w:rFonts w:ascii="宋体" w:hAnsi="宋体" w:cs="宋体"/>
          <w:szCs w:val="21"/>
        </w:rPr>
      </w:pPr>
      <w:r>
        <w:rPr>
          <w:rFonts w:hint="eastAsia" w:ascii="宋体" w:hAnsi="宋体" w:cs="宋体"/>
          <w:szCs w:val="21"/>
        </w:rPr>
        <w:t>非工业企业法人单位的能源消费合计＝∑（某能源品种的消费量×某能源品种的折标准煤系数）。</w:t>
      </w:r>
    </w:p>
    <w:p>
      <w:pPr>
        <w:spacing w:line="360" w:lineRule="exact"/>
        <w:ind w:right="-38" w:firstLine="420" w:firstLineChars="200"/>
        <w:rPr>
          <w:rFonts w:ascii="宋体" w:hAnsi="宋体" w:cs="宋体"/>
          <w:spacing w:val="2"/>
          <w:szCs w:val="21"/>
        </w:rPr>
      </w:pPr>
      <w:r>
        <w:rPr>
          <w:rFonts w:hint="eastAsia" w:ascii="宋体" w:hAnsi="宋体" w:cs="宋体"/>
          <w:szCs w:val="21"/>
        </w:rPr>
        <w:t>《非工业重点耗能单位能源消费情况》（205-5表）的能源消费合计（吨标准煤）＝电力消费量（千瓦时）×0.1229/1000＋煤炭消费量（吨）×0.7143＋焦炭消费量（吨）×0.9714＋煤气消费量（立方米）×0.5714/1000＋天然气消费量（立方米）×1.33/1000＋</w:t>
      </w:r>
      <w:r>
        <w:rPr>
          <w:rFonts w:hint="eastAsia" w:ascii="宋体" w:hAnsi="宋体" w:cs="宋体"/>
          <w:spacing w:val="2"/>
          <w:szCs w:val="21"/>
        </w:rPr>
        <w:t>液化石油气消费量（吨）×1.7143＋汽油消费量（吨）×1.4714＋煤油消费量（吨）×1.4714＋柴油消费量（吨）×1.4571＋燃料油消费量（吨）×1.4286＋外购热力消费量（百万千焦）×0.0341。计算时，各能源品种的计量单位必须与上述公式中的计量单位保持一致。部分能源品种换算关系如下：汽油1升＝0.73千克＝0.00073吨，轻柴油1升＝0.86千克＝0.00086吨，重柴油1升＝0.92千克＝0.00092吨，煤油1升＝0.82千克＝0.00082吨，燃料油1升＝0.91千克＝0.00091吨。</w:t>
      </w:r>
    </w:p>
    <w:p>
      <w:pPr>
        <w:spacing w:beforeLines="200" w:afterLines="100" w:line="360" w:lineRule="exact"/>
        <w:jc w:val="center"/>
        <w:outlineLvl w:val="1"/>
        <w:rPr>
          <w:rFonts w:eastAsia="黑体"/>
          <w:sz w:val="28"/>
          <w:szCs w:val="28"/>
        </w:rPr>
      </w:pPr>
      <w:r>
        <w:rPr>
          <w:rFonts w:eastAsia="黑体"/>
          <w:sz w:val="28"/>
          <w:szCs w:val="28"/>
        </w:rPr>
        <w:t>（六）能源生产、销售与库存（</w:t>
      </w:r>
      <w:r>
        <w:rPr>
          <w:rFonts w:hint="eastAsia" w:ascii="宋体" w:hAnsi="宋体" w:cs="宋体"/>
          <w:sz w:val="28"/>
          <w:szCs w:val="28"/>
        </w:rPr>
        <w:t>205-6</w:t>
      </w:r>
      <w:r>
        <w:rPr>
          <w:rFonts w:eastAsia="黑体"/>
          <w:sz w:val="28"/>
          <w:szCs w:val="28"/>
        </w:rPr>
        <w:t>表）</w:t>
      </w:r>
    </w:p>
    <w:p>
      <w:pPr>
        <w:spacing w:line="360" w:lineRule="exact"/>
        <w:ind w:firstLine="420" w:firstLineChars="200"/>
        <w:rPr>
          <w:rFonts w:eastAsia="仿宋_GB2312"/>
          <w:szCs w:val="21"/>
        </w:rPr>
      </w:pPr>
      <w:r>
        <w:rPr>
          <w:rFonts w:eastAsia="黑体"/>
          <w:szCs w:val="21"/>
        </w:rPr>
        <w:t xml:space="preserve">产成品库存量  </w:t>
      </w:r>
      <w:r>
        <w:rPr>
          <w:szCs w:val="21"/>
        </w:rPr>
        <w:t>指企业在期初、期末时点上，由本企业生产、办理了入库手续而暂未售出的产品的实物数量。</w:t>
      </w:r>
    </w:p>
    <w:p>
      <w:pPr>
        <w:spacing w:line="360" w:lineRule="exact"/>
        <w:ind w:firstLine="357" w:firstLineChars="170"/>
        <w:rPr>
          <w:rFonts w:ascii="宋体" w:hAnsi="宋体" w:cs="宋体"/>
          <w:szCs w:val="21"/>
        </w:rPr>
      </w:pPr>
      <w:r>
        <w:rPr>
          <w:rFonts w:hint="eastAsia" w:ascii="宋体" w:hAnsi="宋体" w:cs="宋体"/>
          <w:szCs w:val="21"/>
        </w:rPr>
        <w:t>（1）产品库存量计算应遵循的原则</w:t>
      </w:r>
    </w:p>
    <w:p>
      <w:pPr>
        <w:spacing w:line="360" w:lineRule="exact"/>
        <w:ind w:firstLine="420" w:firstLineChars="200"/>
        <w:rPr>
          <w:rFonts w:ascii="宋体" w:hAnsi="宋体" w:cs="宋体"/>
          <w:szCs w:val="21"/>
        </w:rPr>
      </w:pPr>
      <w:r>
        <w:rPr>
          <w:rFonts w:hint="eastAsia" w:ascii="宋体" w:hAnsi="宋体" w:cs="宋体"/>
          <w:szCs w:val="21"/>
        </w:rPr>
        <w:t>①产品库存必须是处于“实际库存”状态的产品，即产品生产出来经过检验合格并办理入库手续的产品。有的产品虽已结束了生产过程，但还没有验收合格，还没有办理入库手续，不能作为产品库存统计。有的产品已经售出，但按提货制要求还没有办妥货款结算手续的，或按送货制要求未办理承运手续的，仍应作为本企业的产品库存量统计，而不能作为产品销售量统计。</w:t>
      </w:r>
    </w:p>
    <w:p>
      <w:pPr>
        <w:spacing w:line="360" w:lineRule="exact"/>
        <w:ind w:firstLine="420" w:firstLineChars="200"/>
        <w:rPr>
          <w:rFonts w:ascii="宋体" w:hAnsi="宋体" w:cs="宋体"/>
          <w:szCs w:val="21"/>
        </w:rPr>
      </w:pPr>
      <w:r>
        <w:rPr>
          <w:rFonts w:hint="eastAsia" w:ascii="宋体" w:hAnsi="宋体" w:cs="宋体"/>
          <w:szCs w:val="21"/>
        </w:rPr>
        <w:t>②计入产品库存量的产品，必须是本企业有权销售的产品，对于已经销售并已办妥各项手续，但尚未提货的产品，本企业无权支配，这种产品虽然仍存在本企业仓库中，但不应统计为库存量。凡企业有权销售的产品，不论存放在什么地方，均应统计。</w:t>
      </w:r>
    </w:p>
    <w:p>
      <w:pPr>
        <w:spacing w:line="360" w:lineRule="exact"/>
        <w:ind w:firstLine="420" w:firstLineChars="200"/>
        <w:rPr>
          <w:rFonts w:ascii="宋体" w:hAnsi="宋体" w:cs="宋体"/>
          <w:szCs w:val="21"/>
        </w:rPr>
      </w:pPr>
      <w:r>
        <w:rPr>
          <w:rFonts w:hint="eastAsia" w:ascii="宋体" w:hAnsi="宋体" w:cs="宋体"/>
          <w:szCs w:val="21"/>
        </w:rPr>
        <w:t>③产品库存量不能出现负数。如果产品还没有入库就已售出，应将售出的这部分产品补填入库和出库凭证，并相应计入产品产量中。</w:t>
      </w:r>
    </w:p>
    <w:p>
      <w:pPr>
        <w:spacing w:line="360" w:lineRule="exact"/>
        <w:ind w:firstLine="357" w:firstLineChars="170"/>
        <w:rPr>
          <w:rFonts w:ascii="宋体" w:hAnsi="宋体" w:cs="宋体"/>
          <w:szCs w:val="21"/>
        </w:rPr>
      </w:pPr>
      <w:r>
        <w:rPr>
          <w:rFonts w:hint="eastAsia" w:ascii="宋体" w:hAnsi="宋体" w:cs="宋体"/>
          <w:szCs w:val="21"/>
        </w:rPr>
        <w:t>（2）产品库存量包括的内容</w:t>
      </w:r>
    </w:p>
    <w:p>
      <w:pPr>
        <w:spacing w:line="360" w:lineRule="exact"/>
        <w:ind w:firstLine="420" w:firstLineChars="200"/>
        <w:rPr>
          <w:rFonts w:ascii="宋体" w:hAnsi="宋体" w:cs="宋体"/>
          <w:szCs w:val="21"/>
        </w:rPr>
      </w:pPr>
      <w:r>
        <w:rPr>
          <w:rFonts w:hint="eastAsia" w:ascii="宋体" w:hAnsi="宋体" w:cs="宋体"/>
          <w:szCs w:val="21"/>
        </w:rPr>
        <w:t>①本企业生产的，报告期内经检验合格入库的产品。</w:t>
      </w:r>
    </w:p>
    <w:p>
      <w:pPr>
        <w:spacing w:line="360" w:lineRule="exact"/>
        <w:ind w:firstLine="420" w:firstLineChars="200"/>
        <w:rPr>
          <w:rFonts w:ascii="宋体" w:hAnsi="宋体" w:cs="宋体"/>
          <w:szCs w:val="21"/>
        </w:rPr>
      </w:pPr>
      <w:r>
        <w:rPr>
          <w:rFonts w:hint="eastAsia" w:ascii="宋体" w:hAnsi="宋体" w:cs="宋体"/>
          <w:szCs w:val="21"/>
        </w:rPr>
        <w:t>②库存产品虽有销售对象，但尚未发货的。</w:t>
      </w:r>
    </w:p>
    <w:p>
      <w:pPr>
        <w:spacing w:line="360" w:lineRule="exact"/>
        <w:ind w:firstLine="420" w:firstLineChars="200"/>
        <w:rPr>
          <w:rFonts w:ascii="宋体" w:hAnsi="宋体" w:cs="宋体"/>
          <w:szCs w:val="21"/>
        </w:rPr>
      </w:pPr>
      <w:r>
        <w:rPr>
          <w:rFonts w:hint="eastAsia" w:ascii="宋体" w:hAnsi="宋体" w:cs="宋体"/>
          <w:szCs w:val="21"/>
        </w:rPr>
        <w:t>③非工业企业和境外订货者来料加工产品尚未拨出的。</w:t>
      </w:r>
    </w:p>
    <w:p>
      <w:pPr>
        <w:spacing w:line="360" w:lineRule="exact"/>
        <w:ind w:firstLine="420" w:firstLineChars="200"/>
        <w:rPr>
          <w:rFonts w:ascii="宋体" w:hAnsi="宋体" w:cs="宋体"/>
          <w:szCs w:val="21"/>
        </w:rPr>
      </w:pPr>
      <w:r>
        <w:rPr>
          <w:rFonts w:hint="eastAsia" w:ascii="宋体" w:hAnsi="宋体" w:cs="宋体"/>
          <w:szCs w:val="21"/>
        </w:rPr>
        <w:t>④盘点中的账外产品。</w:t>
      </w:r>
    </w:p>
    <w:p>
      <w:pPr>
        <w:spacing w:line="360" w:lineRule="exact"/>
        <w:ind w:firstLine="420" w:firstLineChars="200"/>
        <w:rPr>
          <w:rFonts w:ascii="宋体" w:hAnsi="宋体" w:cs="宋体"/>
          <w:szCs w:val="21"/>
        </w:rPr>
      </w:pPr>
      <w:r>
        <w:rPr>
          <w:rFonts w:hint="eastAsia" w:ascii="宋体" w:hAnsi="宋体" w:cs="宋体"/>
          <w:szCs w:val="21"/>
        </w:rPr>
        <w:t>⑤产品入库后发现有质量问题，但未办理退库手续的产品。</w:t>
      </w:r>
    </w:p>
    <w:p>
      <w:pPr>
        <w:spacing w:line="360" w:lineRule="exact"/>
        <w:ind w:firstLine="357" w:firstLineChars="170"/>
        <w:rPr>
          <w:rFonts w:ascii="宋体" w:hAnsi="宋体" w:cs="宋体"/>
          <w:szCs w:val="21"/>
        </w:rPr>
      </w:pPr>
      <w:r>
        <w:rPr>
          <w:rFonts w:hint="eastAsia" w:ascii="宋体" w:hAnsi="宋体" w:cs="宋体"/>
          <w:szCs w:val="21"/>
        </w:rPr>
        <w:t>（3）产品库存量不应包括的内容</w:t>
      </w:r>
    </w:p>
    <w:p>
      <w:pPr>
        <w:spacing w:line="360" w:lineRule="exact"/>
        <w:ind w:firstLine="420" w:firstLineChars="200"/>
        <w:rPr>
          <w:rFonts w:ascii="宋体" w:hAnsi="宋体" w:cs="宋体"/>
          <w:szCs w:val="21"/>
        </w:rPr>
      </w:pPr>
      <w:r>
        <w:rPr>
          <w:rFonts w:hint="eastAsia" w:ascii="宋体" w:hAnsi="宋体" w:cs="宋体"/>
          <w:szCs w:val="21"/>
        </w:rPr>
        <w:t>①属于提货制销售的产品，已办理货款结算和开出提货单，但用户尚未提走的产品。</w:t>
      </w:r>
    </w:p>
    <w:p>
      <w:pPr>
        <w:spacing w:line="360" w:lineRule="exact"/>
        <w:ind w:firstLine="420" w:firstLineChars="200"/>
        <w:rPr>
          <w:rFonts w:ascii="宋体" w:hAnsi="宋体" w:cs="宋体"/>
          <w:szCs w:val="21"/>
        </w:rPr>
      </w:pPr>
      <w:r>
        <w:rPr>
          <w:rFonts w:hint="eastAsia" w:ascii="宋体" w:hAnsi="宋体" w:cs="宋体"/>
          <w:szCs w:val="21"/>
        </w:rPr>
        <w:t>②代外单位保管的产品。</w:t>
      </w:r>
    </w:p>
    <w:p>
      <w:pPr>
        <w:spacing w:line="360" w:lineRule="exact"/>
        <w:ind w:firstLine="420" w:firstLineChars="200"/>
        <w:rPr>
          <w:rFonts w:ascii="宋体" w:hAnsi="宋体" w:cs="宋体"/>
          <w:szCs w:val="21"/>
        </w:rPr>
      </w:pPr>
      <w:r>
        <w:rPr>
          <w:rFonts w:hint="eastAsia" w:ascii="宋体" w:hAnsi="宋体" w:cs="宋体"/>
          <w:szCs w:val="21"/>
        </w:rPr>
        <w:t>③已结束生产过程但尚未办理入库手续的产品。</w:t>
      </w:r>
    </w:p>
    <w:p>
      <w:pPr>
        <w:spacing w:line="360" w:lineRule="exact"/>
        <w:ind w:firstLine="420" w:firstLineChars="200"/>
        <w:rPr>
          <w:szCs w:val="21"/>
        </w:rPr>
      </w:pPr>
      <w:r>
        <w:rPr>
          <w:rFonts w:eastAsia="黑体"/>
          <w:szCs w:val="21"/>
        </w:rPr>
        <w:t>生产量</w:t>
      </w:r>
      <w:r>
        <w:rPr>
          <w:rFonts w:eastAsia="仿宋_GB2312"/>
          <w:szCs w:val="21"/>
        </w:rPr>
        <w:t xml:space="preserve">  </w:t>
      </w:r>
      <w:r>
        <w:rPr>
          <w:szCs w:val="21"/>
        </w:rPr>
        <w:t>指企业在报告期内生产的并符合产品质量要求的实物数量，包括商品量和自用量两部分。</w:t>
      </w:r>
    </w:p>
    <w:p>
      <w:pPr>
        <w:spacing w:line="360" w:lineRule="exact"/>
        <w:ind w:firstLine="357" w:firstLineChars="170"/>
        <w:rPr>
          <w:rFonts w:ascii="宋体" w:hAnsi="宋体" w:cs="宋体"/>
          <w:szCs w:val="21"/>
        </w:rPr>
      </w:pPr>
      <w:r>
        <w:rPr>
          <w:rFonts w:hint="eastAsia" w:ascii="宋体" w:hAnsi="宋体" w:cs="宋体"/>
          <w:szCs w:val="21"/>
        </w:rPr>
        <w:t>（1）产品生产量计算应遵循的原则</w:t>
      </w:r>
    </w:p>
    <w:p>
      <w:pPr>
        <w:spacing w:line="360" w:lineRule="exact"/>
        <w:ind w:firstLine="420" w:firstLineChars="200"/>
        <w:rPr>
          <w:szCs w:val="21"/>
        </w:rPr>
      </w:pPr>
      <w:r>
        <w:rPr>
          <w:rFonts w:hint="eastAsia" w:ascii="宋体" w:hAnsi="宋体" w:cs="宋体"/>
          <w:szCs w:val="21"/>
        </w:rPr>
        <w:t>①产品质量标</w:t>
      </w:r>
      <w:r>
        <w:rPr>
          <w:szCs w:val="21"/>
        </w:rPr>
        <w:t>准：产品必须符合规定的质量标准或订货合同规定的技术条件，才可统计生产量。产品质量标准一律按国家标准或部颁标准执行。没有国家标准或部颁标准的产品，应按企业主管机关的标准或订货合同规定的技术条件执行，不得擅自更改标准或降低标准，不合格的产品不能计算生产量。</w:t>
      </w:r>
    </w:p>
    <w:p>
      <w:pPr>
        <w:spacing w:line="360" w:lineRule="exact"/>
        <w:ind w:firstLine="420" w:firstLineChars="200"/>
        <w:rPr>
          <w:rFonts w:ascii="宋体" w:hAnsi="宋体" w:cs="宋体"/>
          <w:szCs w:val="21"/>
        </w:rPr>
      </w:pPr>
      <w:r>
        <w:rPr>
          <w:rFonts w:hint="eastAsia" w:ascii="宋体" w:hAnsi="宋体" w:cs="宋体"/>
          <w:szCs w:val="21"/>
        </w:rPr>
        <w:t>②统计时间：产品生产量反映的是报告期内的企业生产成果，凡报告期内生产的产品都应计算在内，即截止报告期最后一天检验合格并办理了入库手续的产品，其中规定要求包装的产品必须包装好才能计算其生产量。至于报告期最后一天以哪一个班次作为截止计算产量的班次则由企业主管机关规定，并应与会计核算的结算时间一致。结算时间一经确定，就要严格执行，不得随意提前或移后。</w:t>
      </w:r>
    </w:p>
    <w:p>
      <w:pPr>
        <w:spacing w:line="360" w:lineRule="exact"/>
        <w:ind w:firstLine="420" w:firstLineChars="200"/>
        <w:rPr>
          <w:rFonts w:ascii="宋体" w:hAnsi="宋体" w:cs="宋体"/>
          <w:szCs w:val="21"/>
        </w:rPr>
      </w:pPr>
      <w:r>
        <w:rPr>
          <w:rFonts w:hint="eastAsia" w:ascii="宋体" w:hAnsi="宋体" w:cs="宋体"/>
          <w:szCs w:val="21"/>
        </w:rPr>
        <w:t>③准确度量：准确度量是计算产品产量的重要一环，企业应配备必要的计量设备，对产量进行实际度量，不得随意估算，对确有困难不得不推算的某些产品，一定要按照主管部门规定的推算方法计算，使之尽量接近实际。</w:t>
      </w:r>
    </w:p>
    <w:p>
      <w:pPr>
        <w:spacing w:line="360" w:lineRule="exact"/>
        <w:ind w:firstLine="357" w:firstLineChars="170"/>
        <w:rPr>
          <w:rFonts w:ascii="宋体" w:hAnsi="宋体" w:cs="宋体"/>
          <w:szCs w:val="21"/>
        </w:rPr>
      </w:pPr>
      <w:r>
        <w:rPr>
          <w:rFonts w:hint="eastAsia" w:ascii="宋体" w:hAnsi="宋体" w:cs="宋体"/>
          <w:szCs w:val="21"/>
        </w:rPr>
        <w:t>（2）产品生产量包括的内容</w:t>
      </w:r>
    </w:p>
    <w:p>
      <w:pPr>
        <w:spacing w:line="360" w:lineRule="exact"/>
        <w:ind w:firstLine="420" w:firstLineChars="200"/>
        <w:rPr>
          <w:rFonts w:ascii="宋体" w:hAnsi="宋体" w:cs="宋体"/>
          <w:szCs w:val="21"/>
        </w:rPr>
      </w:pPr>
      <w:r>
        <w:rPr>
          <w:rFonts w:hint="eastAsia" w:ascii="宋体" w:hAnsi="宋体" w:cs="宋体"/>
          <w:szCs w:val="21"/>
        </w:rPr>
        <w:t>①企业各车间（主要车间、辅助车间、附属品车间及副产品车间）用自备原材料生产的全部产品产量，不论是要销售的商品量还是本企业的自用量，均应统计生产量。</w:t>
      </w:r>
    </w:p>
    <w:p>
      <w:pPr>
        <w:spacing w:line="360" w:lineRule="exact"/>
        <w:ind w:firstLine="420" w:firstLineChars="200"/>
        <w:rPr>
          <w:rFonts w:ascii="宋体" w:hAnsi="宋体" w:cs="宋体"/>
          <w:szCs w:val="21"/>
        </w:rPr>
      </w:pPr>
      <w:r>
        <w:rPr>
          <w:rFonts w:hint="eastAsia" w:ascii="宋体" w:hAnsi="宋体" w:cs="宋体"/>
          <w:szCs w:val="21"/>
        </w:rPr>
        <w:t>②凡用订货者来料加工生产的产品，并且加工企业只收取加工费的，如果订货者是境内非工业企业和境外企业，其产品生产量由加工企业统计；如果订货者是境内工业企业，产品生产量由委托企业（即发包企业）统计，加工企业（即承包企业）不统计。</w:t>
      </w:r>
    </w:p>
    <w:p>
      <w:pPr>
        <w:spacing w:line="360" w:lineRule="exact"/>
        <w:ind w:firstLine="420" w:firstLineChars="200"/>
        <w:rPr>
          <w:rFonts w:ascii="宋体" w:hAnsi="宋体" w:cs="宋体"/>
          <w:szCs w:val="21"/>
        </w:rPr>
      </w:pPr>
      <w:r>
        <w:rPr>
          <w:rFonts w:hint="eastAsia" w:ascii="宋体" w:hAnsi="宋体" w:cs="宋体"/>
          <w:szCs w:val="21"/>
        </w:rPr>
        <w:t>③经正式鉴定合格的新产品、自产自用的生产设备、未正式投入生产以前试生产的合格品以及基本建设附产的合格品，都应包括在产品生产量中。</w:t>
      </w:r>
    </w:p>
    <w:p>
      <w:pPr>
        <w:spacing w:line="360" w:lineRule="exact"/>
        <w:ind w:firstLine="420" w:firstLineChars="200"/>
        <w:rPr>
          <w:rFonts w:ascii="宋体" w:hAnsi="宋体" w:cs="宋体"/>
          <w:szCs w:val="21"/>
        </w:rPr>
      </w:pPr>
      <w:r>
        <w:rPr>
          <w:rFonts w:hint="eastAsia" w:ascii="宋体" w:hAnsi="宋体" w:cs="宋体"/>
          <w:szCs w:val="21"/>
        </w:rPr>
        <w:t>④用进口原材料或关键零件生产的产品，或用进口整套散装零件及用进口组装件加工、装配的产品，不论是在国内销售还是外商经销，生产量均统计在国内同种产品生产量中。</w:t>
      </w:r>
    </w:p>
    <w:p>
      <w:pPr>
        <w:spacing w:line="360" w:lineRule="exact"/>
        <w:ind w:firstLine="420" w:firstLineChars="200"/>
        <w:rPr>
          <w:rFonts w:ascii="宋体" w:hAnsi="宋体" w:cs="宋体"/>
          <w:szCs w:val="21"/>
        </w:rPr>
      </w:pPr>
      <w:r>
        <w:rPr>
          <w:rFonts w:hint="eastAsia" w:ascii="宋体" w:hAnsi="宋体" w:cs="宋体"/>
          <w:szCs w:val="21"/>
        </w:rPr>
        <w:t>⑤在我国国土范围内的外商投资和港、澳、台商投资企业生产的产品，其生产量全部统计在国内同种产品生产量中。</w:t>
      </w:r>
    </w:p>
    <w:p>
      <w:pPr>
        <w:spacing w:line="360" w:lineRule="exact"/>
        <w:ind w:firstLine="420" w:firstLineChars="200"/>
        <w:rPr>
          <w:rFonts w:ascii="宋体" w:hAnsi="宋体" w:cs="宋体"/>
          <w:szCs w:val="21"/>
        </w:rPr>
      </w:pPr>
      <w:r>
        <w:rPr>
          <w:rFonts w:hint="eastAsia" w:ascii="宋体" w:hAnsi="宋体" w:cs="宋体"/>
          <w:szCs w:val="21"/>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pPr>
        <w:spacing w:line="360" w:lineRule="exact"/>
        <w:ind w:firstLine="357" w:firstLineChars="170"/>
        <w:rPr>
          <w:rFonts w:ascii="宋体" w:hAnsi="宋体" w:cs="宋体"/>
          <w:szCs w:val="21"/>
        </w:rPr>
      </w:pPr>
      <w:r>
        <w:rPr>
          <w:rFonts w:hint="eastAsia" w:ascii="宋体" w:hAnsi="宋体" w:cs="宋体"/>
          <w:szCs w:val="21"/>
        </w:rPr>
        <w:t>（3）产品生产量不应包括的内容</w:t>
      </w:r>
    </w:p>
    <w:p>
      <w:pPr>
        <w:spacing w:line="360" w:lineRule="exact"/>
        <w:ind w:firstLine="420" w:firstLineChars="200"/>
        <w:rPr>
          <w:rFonts w:ascii="宋体" w:hAnsi="宋体" w:cs="宋体"/>
          <w:szCs w:val="21"/>
        </w:rPr>
      </w:pPr>
      <w:r>
        <w:rPr>
          <w:rFonts w:hint="eastAsia" w:ascii="宋体" w:hAnsi="宋体" w:cs="宋体"/>
          <w:szCs w:val="21"/>
        </w:rPr>
        <w:t>①在生产产品的同时，产生的下脚余料或废料，不应统计为产品生产量。</w:t>
      </w:r>
    </w:p>
    <w:p>
      <w:pPr>
        <w:spacing w:line="360" w:lineRule="exact"/>
        <w:ind w:firstLine="420" w:firstLineChars="200"/>
        <w:rPr>
          <w:rFonts w:ascii="宋体" w:hAnsi="宋体" w:cs="宋体"/>
          <w:szCs w:val="21"/>
        </w:rPr>
      </w:pPr>
      <w:r>
        <w:rPr>
          <w:rFonts w:hint="eastAsia" w:ascii="宋体" w:hAnsi="宋体" w:cs="宋体"/>
          <w:szCs w:val="21"/>
        </w:rPr>
        <w:t>②投入生产过程中的原材料没有完全消耗掉，而加以回收、提浓，再供本企业自用的，如机械工业回收的润滑油等都不计算产品生产量。</w:t>
      </w:r>
    </w:p>
    <w:p>
      <w:pPr>
        <w:spacing w:line="360" w:lineRule="exact"/>
        <w:ind w:firstLine="420" w:firstLineChars="200"/>
        <w:rPr>
          <w:rFonts w:ascii="宋体" w:hAnsi="宋体" w:cs="宋体"/>
          <w:szCs w:val="21"/>
        </w:rPr>
      </w:pPr>
      <w:r>
        <w:rPr>
          <w:rFonts w:hint="eastAsia" w:ascii="宋体" w:hAnsi="宋体" w:cs="宋体"/>
          <w:szCs w:val="21"/>
        </w:rPr>
        <w:t>③企业从外购进的，未经本企业任何加工的，不得作为本企业的产品生产量统计。</w:t>
      </w:r>
    </w:p>
    <w:p>
      <w:pPr>
        <w:spacing w:line="360" w:lineRule="exact"/>
        <w:ind w:firstLine="420" w:firstLineChars="200"/>
        <w:rPr>
          <w:szCs w:val="21"/>
        </w:rPr>
      </w:pPr>
      <w:r>
        <w:rPr>
          <w:rFonts w:hint="eastAsia" w:ascii="宋体" w:hAnsi="宋体" w:cs="宋体"/>
          <w:szCs w:val="21"/>
        </w:rPr>
        <w:t>④某些产品在检验产品质量时，需做破坏性</w:t>
      </w:r>
      <w:r>
        <w:rPr>
          <w:szCs w:val="21"/>
        </w:rPr>
        <w:t>试验，这些用作试验的产品，不计算在产品生产量中。</w:t>
      </w:r>
    </w:p>
    <w:p>
      <w:pPr>
        <w:spacing w:line="360" w:lineRule="exact"/>
        <w:ind w:firstLine="420" w:firstLineChars="200"/>
        <w:rPr>
          <w:szCs w:val="21"/>
        </w:rPr>
      </w:pPr>
      <w:r>
        <w:rPr>
          <w:rFonts w:eastAsia="黑体"/>
          <w:szCs w:val="21"/>
        </w:rPr>
        <w:t>销售量</w:t>
      </w:r>
      <w:r>
        <w:rPr>
          <w:rFonts w:eastAsia="仿宋_GB2312"/>
          <w:szCs w:val="21"/>
        </w:rPr>
        <w:t xml:space="preserve">  </w:t>
      </w:r>
      <w:r>
        <w:rPr>
          <w:szCs w:val="21"/>
        </w:rPr>
        <w:t>指报告期内企业实际销售的由本企业生产（包括本期生产和非本期生产）的符合规定的质量标准或定货合同规定的技术条件的产品的实物数量。凡用订货者来料加工生产的产品，并且加工企业只收取加工费的，如果订货者是境内非工业企业和境外企业，其产品销售量由加工企业（即承包企业）统计；如果订货者是境内工业企业，产品销售量由委托企业（即发包企业）统计，加工企业不统计。</w:t>
      </w:r>
    </w:p>
    <w:p>
      <w:pPr>
        <w:spacing w:line="360" w:lineRule="exact"/>
        <w:ind w:firstLine="420" w:firstLineChars="200"/>
        <w:rPr>
          <w:szCs w:val="21"/>
        </w:rPr>
      </w:pPr>
      <w:r>
        <w:rPr>
          <w:szCs w:val="21"/>
        </w:rPr>
        <w:t>区分来料加工与自备原材料生产的依据同产品产量中的规定。</w:t>
      </w:r>
    </w:p>
    <w:p>
      <w:pPr>
        <w:spacing w:line="360" w:lineRule="exact"/>
        <w:ind w:firstLine="357" w:firstLineChars="170"/>
        <w:rPr>
          <w:rFonts w:ascii="宋体" w:hAnsi="宋体" w:cs="宋体"/>
          <w:szCs w:val="21"/>
        </w:rPr>
      </w:pPr>
      <w:r>
        <w:rPr>
          <w:rFonts w:hint="eastAsia" w:ascii="宋体" w:hAnsi="宋体" w:cs="宋体"/>
          <w:szCs w:val="21"/>
        </w:rPr>
        <w:t>（1）产品销售量的核算原则：产品销售量以产品销售实现为核算原则，即在产品已发出，货款已经收到或者得到了收取货款的凭据时作为销售实现，统计产品销售量。按照企业销售方式的不同，产品销售量统计遵从以下几种规定：</w:t>
      </w:r>
    </w:p>
    <w:p>
      <w:pPr>
        <w:spacing w:line="360" w:lineRule="exact"/>
        <w:ind w:firstLine="420" w:firstLineChars="200"/>
        <w:rPr>
          <w:szCs w:val="21"/>
        </w:rPr>
      </w:pPr>
      <w:r>
        <w:rPr>
          <w:rFonts w:hint="eastAsia" w:ascii="宋体" w:hAnsi="宋体" w:cs="宋体"/>
          <w:szCs w:val="21"/>
        </w:rPr>
        <w:t>①采用送货制</w:t>
      </w:r>
      <w:r>
        <w:rPr>
          <w:szCs w:val="21"/>
        </w:rPr>
        <w:t>销售的，产品如由本企业运输部门发运，以产品出库单上的数量、日期为准；如委托专业运输部门发运，则以运输部门的承运单上的数量、日期为准。</w:t>
      </w:r>
    </w:p>
    <w:p>
      <w:pPr>
        <w:spacing w:line="360" w:lineRule="exact"/>
        <w:ind w:firstLine="420" w:firstLineChars="200"/>
        <w:rPr>
          <w:rFonts w:ascii="宋体" w:hAnsi="宋体" w:cs="宋体"/>
          <w:szCs w:val="21"/>
        </w:rPr>
      </w:pPr>
      <w:r>
        <w:rPr>
          <w:rFonts w:hint="eastAsia" w:ascii="宋体" w:hAnsi="宋体" w:cs="宋体"/>
          <w:szCs w:val="21"/>
        </w:rPr>
        <w:t>②采用提货制销售的，以给用户开具的发票和提货单上的数量、日期为准。</w:t>
      </w:r>
    </w:p>
    <w:p>
      <w:pPr>
        <w:spacing w:line="360" w:lineRule="exact"/>
        <w:ind w:firstLine="420" w:firstLineChars="200"/>
        <w:rPr>
          <w:rFonts w:ascii="宋体" w:hAnsi="宋体" w:cs="宋体"/>
          <w:szCs w:val="21"/>
        </w:rPr>
      </w:pPr>
      <w:r>
        <w:rPr>
          <w:rFonts w:hint="eastAsia" w:ascii="宋体" w:hAnsi="宋体" w:cs="宋体"/>
          <w:szCs w:val="21"/>
        </w:rPr>
        <w:t>③委托其他单位代销的产品，以企业收到代销单位的代销清单为准。</w:t>
      </w:r>
    </w:p>
    <w:p>
      <w:pPr>
        <w:spacing w:line="360" w:lineRule="exact"/>
        <w:ind w:firstLine="420" w:firstLineChars="200"/>
        <w:rPr>
          <w:rFonts w:ascii="宋体" w:hAnsi="宋体" w:cs="宋体"/>
          <w:szCs w:val="21"/>
        </w:rPr>
      </w:pPr>
      <w:r>
        <w:rPr>
          <w:rFonts w:hint="eastAsia" w:ascii="宋体" w:hAnsi="宋体" w:cs="宋体"/>
          <w:szCs w:val="21"/>
        </w:rPr>
        <w:t>④采用预收货款销售的，在发出产品时作为销售。产品尚未生产出来，已预收货款或预开提货单的，不应算作销售。</w:t>
      </w:r>
    </w:p>
    <w:p>
      <w:pPr>
        <w:spacing w:line="360" w:lineRule="exact"/>
        <w:ind w:firstLine="420" w:firstLineChars="200"/>
        <w:rPr>
          <w:rFonts w:ascii="宋体" w:hAnsi="宋体" w:cs="宋体"/>
          <w:szCs w:val="21"/>
        </w:rPr>
      </w:pPr>
      <w:r>
        <w:rPr>
          <w:rFonts w:hint="eastAsia" w:ascii="宋体" w:hAnsi="宋体" w:cs="宋体"/>
          <w:szCs w:val="21"/>
        </w:rPr>
        <w:t>⑤企业出口销售的产品，陆运以取得承运货物收据或铁路运单，海运以取得出口装船提单，空运以取得空运运单，并向银行办理出口交单的数量、日期为准。企业自营出口的产品，在委托外贸部门代理出口（实行代理制）的情况下，以收到外贸部门代办的运单和银行交单凭证的数量、日期为准。</w:t>
      </w:r>
    </w:p>
    <w:p>
      <w:pPr>
        <w:spacing w:line="360" w:lineRule="exact"/>
        <w:ind w:firstLine="357" w:firstLineChars="170"/>
        <w:rPr>
          <w:rFonts w:ascii="宋体" w:hAnsi="宋体" w:cs="宋体"/>
          <w:szCs w:val="21"/>
        </w:rPr>
      </w:pPr>
      <w:r>
        <w:rPr>
          <w:rFonts w:hint="eastAsia" w:ascii="宋体" w:hAnsi="宋体" w:cs="宋体"/>
          <w:szCs w:val="21"/>
        </w:rPr>
        <w:t>（2）统计产品销售量应注意以下几点：</w:t>
      </w:r>
    </w:p>
    <w:p>
      <w:pPr>
        <w:spacing w:line="360" w:lineRule="exact"/>
        <w:ind w:firstLine="420" w:firstLineChars="200"/>
        <w:rPr>
          <w:rFonts w:ascii="宋体" w:hAnsi="宋体" w:cs="宋体"/>
          <w:szCs w:val="21"/>
        </w:rPr>
      </w:pPr>
      <w:r>
        <w:rPr>
          <w:rFonts w:hint="eastAsia" w:ascii="宋体" w:hAnsi="宋体" w:cs="宋体"/>
          <w:szCs w:val="21"/>
        </w:rPr>
        <w:t>①只有企业销售的合格产品才能统计其销售量，销售的次品不能计入产品销售量。</w:t>
      </w:r>
    </w:p>
    <w:p>
      <w:pPr>
        <w:spacing w:line="360" w:lineRule="exact"/>
        <w:ind w:firstLine="420" w:firstLineChars="200"/>
        <w:rPr>
          <w:rFonts w:ascii="宋体" w:hAnsi="宋体" w:cs="宋体"/>
          <w:szCs w:val="21"/>
        </w:rPr>
      </w:pPr>
      <w:r>
        <w:rPr>
          <w:rFonts w:hint="eastAsia" w:ascii="宋体" w:hAnsi="宋体" w:cs="宋体"/>
          <w:szCs w:val="21"/>
        </w:rPr>
        <w:t>②分清产品销售和预售的界限：预售指产品还没有生产出来以前，用户为了购买这种产品事先向工厂支付货款。预售不能算作销售。相反，有些产品采用了分期付款的形式，只要是用户拿到了这个商品，不管货款是否已付清，作为企业已经取得了收取货款的凭证就应作为销售。</w:t>
      </w:r>
    </w:p>
    <w:p>
      <w:pPr>
        <w:spacing w:line="360" w:lineRule="exact"/>
        <w:ind w:firstLine="357" w:firstLineChars="170"/>
        <w:rPr>
          <w:rFonts w:ascii="宋体" w:hAnsi="宋体" w:cs="宋体"/>
          <w:szCs w:val="21"/>
        </w:rPr>
      </w:pPr>
      <w:r>
        <w:rPr>
          <w:rFonts w:hint="eastAsia" w:ascii="宋体" w:hAnsi="宋体" w:cs="宋体"/>
          <w:szCs w:val="21"/>
        </w:rPr>
        <w:t>（3）售出产品退货的处理遵从以下规定</w:t>
      </w:r>
    </w:p>
    <w:p>
      <w:pPr>
        <w:spacing w:line="360" w:lineRule="exact"/>
        <w:ind w:firstLine="420" w:firstLineChars="200"/>
        <w:rPr>
          <w:rFonts w:ascii="宋体" w:hAnsi="宋体" w:cs="宋体"/>
          <w:szCs w:val="21"/>
        </w:rPr>
      </w:pPr>
      <w:r>
        <w:rPr>
          <w:rFonts w:hint="eastAsia" w:ascii="宋体" w:hAnsi="宋体" w:cs="宋体"/>
          <w:szCs w:val="21"/>
        </w:rPr>
        <w:t>①退回报告期内销售的合格品，应从报告期销售量中扣除，同时计入库存量；退回报告期内销售的不合格品，要在报告期销售量中扣除，还要同时扣除报告期生产量。</w:t>
      </w:r>
    </w:p>
    <w:p>
      <w:pPr>
        <w:spacing w:line="360" w:lineRule="exact"/>
        <w:ind w:firstLine="420" w:firstLineChars="200"/>
        <w:rPr>
          <w:rFonts w:ascii="宋体" w:hAnsi="宋体" w:cs="宋体"/>
          <w:szCs w:val="21"/>
        </w:rPr>
      </w:pPr>
      <w:r>
        <w:rPr>
          <w:rFonts w:hint="eastAsia" w:ascii="宋体" w:hAnsi="宋体" w:cs="宋体"/>
          <w:szCs w:val="21"/>
        </w:rPr>
        <w:t>②退回报告期以前售出的合格品，报告期销售量不变，计入产品库存量中；退回报告期以前售出的不合格品，报告期销售量和报告期生产量均不变。</w:t>
      </w:r>
    </w:p>
    <w:p>
      <w:pPr>
        <w:spacing w:line="360" w:lineRule="exact"/>
        <w:ind w:firstLine="420" w:firstLineChars="200"/>
        <w:rPr>
          <w:szCs w:val="21"/>
        </w:rPr>
      </w:pPr>
      <w:r>
        <w:rPr>
          <w:rFonts w:hint="eastAsia" w:ascii="宋体" w:hAnsi="宋体" w:cs="宋体"/>
          <w:szCs w:val="21"/>
        </w:rPr>
        <w:t>③退回修理的</w:t>
      </w:r>
      <w:r>
        <w:rPr>
          <w:szCs w:val="21"/>
        </w:rPr>
        <w:t>产品，修理后仍交原用户的，不作为退货处理，在统计报表上不做反映。</w:t>
      </w:r>
    </w:p>
    <w:p>
      <w:pPr>
        <w:spacing w:line="360" w:lineRule="exact"/>
        <w:ind w:right="-38" w:firstLine="420" w:firstLineChars="200"/>
        <w:rPr>
          <w:szCs w:val="21"/>
        </w:rPr>
      </w:pPr>
      <w:r>
        <w:rPr>
          <w:rFonts w:eastAsia="黑体"/>
          <w:szCs w:val="21"/>
        </w:rPr>
        <w:t xml:space="preserve">企业自用及其他  </w:t>
      </w:r>
      <w:r>
        <w:rPr>
          <w:bCs/>
          <w:szCs w:val="21"/>
        </w:rPr>
        <w:t>本指标包括</w:t>
      </w:r>
      <w:r>
        <w:rPr>
          <w:szCs w:val="21"/>
        </w:rPr>
        <w:t>企业自用量和其他</w:t>
      </w:r>
      <w:r>
        <w:rPr>
          <w:bCs/>
          <w:szCs w:val="21"/>
        </w:rPr>
        <w:t>两部分。</w:t>
      </w:r>
      <w:r>
        <w:rPr>
          <w:szCs w:val="21"/>
        </w:rPr>
        <w:t>企业自用量又称企业自产自用量，指企业在报告期内生产的、已作本企业产量统计的、又为本企业使用的产品的数量。但是，由本企业验收合格后，作为商品出售给本企业生活用、在建工程用或行政部门用的产品数量，不能作为自用量统计，而作为销售量统计。</w:t>
      </w:r>
      <w:r>
        <w:rPr>
          <w:bCs/>
          <w:szCs w:val="21"/>
        </w:rPr>
        <w:t>其他是</w:t>
      </w:r>
      <w:r>
        <w:rPr>
          <w:szCs w:val="21"/>
        </w:rPr>
        <w:t>指企业在报告期内将产品用于展览、捐赠、借出以及报废等方面的产品数量和盘盈盘亏的数量。企业以促销手段搭售的产品不能视为捐赠，而应作为销售对待。</w:t>
      </w:r>
    </w:p>
    <w:p>
      <w:pPr>
        <w:spacing w:line="360" w:lineRule="exact"/>
        <w:ind w:right="-38" w:firstLine="420" w:firstLineChars="200"/>
        <w:jc w:val="left"/>
        <w:rPr>
          <w:rFonts w:eastAsia="黑体"/>
          <w:sz w:val="28"/>
          <w:szCs w:val="28"/>
        </w:rPr>
      </w:pPr>
      <w:r>
        <w:rPr>
          <w:rFonts w:eastAsia="黑体"/>
          <w:szCs w:val="21"/>
        </w:rPr>
        <w:t xml:space="preserve">销往省外  </w:t>
      </w:r>
      <w:r>
        <w:rPr>
          <w:rFonts w:hint="eastAsia"/>
          <w:szCs w:val="21"/>
        </w:rPr>
        <w:t>指企业在报告期内销往本省（自治区、直辖市）以外（包括出口）的数量。</w:t>
      </w:r>
    </w:p>
    <w:p>
      <w:pPr>
        <w:spacing w:beforeLines="200" w:afterLines="100" w:line="360" w:lineRule="exact"/>
        <w:ind w:right="-40" w:firstLine="560" w:firstLineChars="200"/>
        <w:jc w:val="center"/>
        <w:rPr>
          <w:rFonts w:eastAsia="黑体"/>
          <w:sz w:val="28"/>
          <w:szCs w:val="28"/>
        </w:rPr>
      </w:pPr>
      <w:r>
        <w:rPr>
          <w:rFonts w:eastAsia="黑体"/>
          <w:sz w:val="28"/>
          <w:szCs w:val="28"/>
        </w:rPr>
        <w:t>（七）重点能源商品经销情况（</w:t>
      </w:r>
      <w:r>
        <w:rPr>
          <w:rFonts w:hint="eastAsia" w:ascii="宋体" w:hAnsi="宋体" w:cs="宋体"/>
          <w:sz w:val="28"/>
          <w:szCs w:val="28"/>
        </w:rPr>
        <w:t>205-7</w:t>
      </w:r>
      <w:r>
        <w:rPr>
          <w:rFonts w:eastAsia="黑体"/>
          <w:sz w:val="28"/>
          <w:szCs w:val="28"/>
        </w:rPr>
        <w:t>表）</w:t>
      </w:r>
    </w:p>
    <w:p>
      <w:pPr>
        <w:pStyle w:val="10"/>
        <w:spacing w:beforeLines="50" w:line="360" w:lineRule="exact"/>
        <w:ind w:firstLine="420" w:firstLineChars="200"/>
        <w:rPr>
          <w:rFonts w:hAnsi="宋体" w:cs="宋体"/>
          <w:bCs/>
        </w:rPr>
      </w:pPr>
      <w:r>
        <w:rPr>
          <w:rFonts w:ascii="Times New Roman" w:hAnsi="Times New Roman" w:eastAsia="黑体" w:cs="Times New Roman"/>
          <w:bCs/>
        </w:rPr>
        <w:t>商品购进量</w:t>
      </w:r>
      <w:r>
        <w:rPr>
          <w:rFonts w:eastAsia="黑体"/>
          <w:bCs/>
        </w:rPr>
        <w:t xml:space="preserve">  </w:t>
      </w:r>
      <w:r>
        <w:rPr>
          <w:rFonts w:hint="eastAsia" w:hAnsi="宋体" w:cs="宋体"/>
          <w:bCs/>
        </w:rPr>
        <w:t>指从本单位以外的单位或个人购买和调入（开具正式发票，下同）的商品数量。购进的各种商品，不论是否进入本单位仓库，凡是通过本单位结算货款的，都统计在商品购进量中。</w:t>
      </w:r>
    </w:p>
    <w:p>
      <w:pPr>
        <w:pStyle w:val="10"/>
        <w:spacing w:line="360" w:lineRule="exact"/>
        <w:ind w:firstLine="420" w:firstLineChars="200"/>
        <w:rPr>
          <w:rFonts w:hAnsi="宋体" w:cs="宋体"/>
          <w:bCs/>
        </w:rPr>
      </w:pPr>
      <w:r>
        <w:rPr>
          <w:rFonts w:hint="eastAsia" w:hAnsi="宋体" w:cs="宋体"/>
          <w:bCs/>
        </w:rPr>
        <w:t>商品购进量包括：（1</w:t>
      </w:r>
      <w:r>
        <w:rPr>
          <w:rFonts w:hint="eastAsia" w:hAnsi="宋体" w:cs="宋体"/>
          <w:kern w:val="0"/>
        </w:rPr>
        <w:t>）</w:t>
      </w:r>
      <w:r>
        <w:rPr>
          <w:rFonts w:hint="eastAsia" w:hAnsi="宋体" w:cs="宋体"/>
          <w:bCs/>
        </w:rPr>
        <w:t>从工农业生产者、批发和零售业单位、住宿和餐饮业单位、出版社或报社的出版发行部门和其他服务业单位购买的商品数量；（2</w:t>
      </w:r>
      <w:r>
        <w:rPr>
          <w:rFonts w:hint="eastAsia" w:hAnsi="宋体" w:cs="宋体"/>
          <w:kern w:val="0"/>
        </w:rPr>
        <w:t>）</w:t>
      </w:r>
      <w:r>
        <w:rPr>
          <w:rFonts w:hint="eastAsia" w:hAnsi="宋体" w:cs="宋体"/>
          <w:bCs/>
        </w:rPr>
        <w:t>从机关团体、事业单位购买的商品数量；（3）从海关、市场管理部门购买的缉私和没收的商品数量。（4</w:t>
      </w:r>
      <w:r>
        <w:rPr>
          <w:rFonts w:hint="eastAsia" w:hAnsi="宋体" w:cs="宋体"/>
          <w:kern w:val="0"/>
        </w:rPr>
        <w:t>）</w:t>
      </w:r>
      <w:r>
        <w:rPr>
          <w:rFonts w:hint="eastAsia" w:hAnsi="宋体" w:cs="宋体"/>
          <w:bCs/>
        </w:rPr>
        <w:t>从国（境）外直接进口的商品数量；（5）从居民收购的废旧商品数量。</w:t>
      </w:r>
    </w:p>
    <w:p>
      <w:pPr>
        <w:pStyle w:val="10"/>
        <w:spacing w:line="360" w:lineRule="exact"/>
        <w:ind w:firstLine="420" w:firstLineChars="200"/>
        <w:rPr>
          <w:rFonts w:hAnsi="宋体" w:cs="宋体"/>
          <w:bCs/>
        </w:rPr>
      </w:pPr>
      <w:r>
        <w:rPr>
          <w:rFonts w:hint="eastAsia" w:hAnsi="宋体" w:cs="宋体"/>
          <w:bCs/>
        </w:rPr>
        <w:t>商品购进量不包括：（1</w:t>
      </w:r>
      <w:r>
        <w:rPr>
          <w:rFonts w:hint="eastAsia" w:hAnsi="宋体" w:cs="宋体"/>
          <w:kern w:val="0"/>
        </w:rPr>
        <w:t>）</w:t>
      </w:r>
      <w:r>
        <w:rPr>
          <w:rFonts w:hint="eastAsia" w:hAnsi="宋体" w:cs="宋体"/>
          <w:bCs/>
        </w:rPr>
        <w:t>未通过买卖行为而收入的商品数量，如接收其他部门移交的、借入的、代其他单位保管的、其他单位赠送的样品、加工回收的成品等；（2</w:t>
      </w:r>
      <w:r>
        <w:rPr>
          <w:rFonts w:hint="eastAsia" w:hAnsi="宋体" w:cs="宋体"/>
          <w:kern w:val="0"/>
        </w:rPr>
        <w:t>）</w:t>
      </w:r>
      <w:r>
        <w:rPr>
          <w:rFonts w:hint="eastAsia" w:hAnsi="宋体" w:cs="宋体"/>
          <w:bCs/>
        </w:rPr>
        <w:t>经本单位介绍，由买卖双方直接结算，本单位只收取手续费的业务；（3</w:t>
      </w:r>
      <w:r>
        <w:rPr>
          <w:rFonts w:hint="eastAsia" w:hAnsi="宋体" w:cs="宋体"/>
          <w:kern w:val="0"/>
        </w:rPr>
        <w:t>）</w:t>
      </w:r>
      <w:r>
        <w:rPr>
          <w:rFonts w:hint="eastAsia" w:hAnsi="宋体" w:cs="宋体"/>
          <w:bCs/>
        </w:rPr>
        <w:t>销货退回、买方拒付货款的商品数量；（4）溢余商品数量。</w:t>
      </w:r>
    </w:p>
    <w:p>
      <w:pPr>
        <w:pStyle w:val="10"/>
        <w:spacing w:line="360" w:lineRule="exact"/>
        <w:ind w:firstLine="420" w:firstLineChars="200"/>
        <w:rPr>
          <w:rFonts w:ascii="Times New Roman" w:hAnsi="Times New Roman" w:cs="Times New Roman"/>
          <w:bCs/>
        </w:rPr>
      </w:pPr>
      <w:r>
        <w:rPr>
          <w:rFonts w:ascii="Times New Roman" w:hAnsi="Times New Roman" w:eastAsia="黑体" w:cs="Times New Roman"/>
          <w:bCs/>
        </w:rPr>
        <w:t>商品销售量</w:t>
      </w:r>
      <w:r>
        <w:rPr>
          <w:rFonts w:eastAsia="黑体"/>
          <w:bCs/>
        </w:rPr>
        <w:t xml:space="preserve">  </w:t>
      </w:r>
      <w:r>
        <w:rPr>
          <w:rFonts w:ascii="Times New Roman" w:hAnsi="Times New Roman" w:cs="Times New Roman"/>
          <w:bCs/>
        </w:rPr>
        <w:t>指销售和调出（开具正式发票，下同）给本单位以外的单位或个人的商品数量。销售的各种商品，凡是收到货款或取得收款凭证的，都统计在商品销售量中。</w:t>
      </w:r>
    </w:p>
    <w:p>
      <w:pPr>
        <w:pStyle w:val="10"/>
        <w:spacing w:line="360" w:lineRule="exact"/>
        <w:ind w:firstLine="420" w:firstLineChars="200"/>
        <w:rPr>
          <w:rFonts w:hAnsi="宋体" w:cs="宋体"/>
          <w:bCs/>
        </w:rPr>
      </w:pPr>
      <w:r>
        <w:rPr>
          <w:rFonts w:ascii="Times New Roman" w:hAnsi="Times New Roman" w:cs="Times New Roman"/>
          <w:bCs/>
        </w:rPr>
        <w:t>商品销售量包括：</w:t>
      </w:r>
      <w:r>
        <w:rPr>
          <w:rFonts w:hint="eastAsia" w:hAnsi="宋体" w:cs="宋体"/>
          <w:bCs/>
        </w:rPr>
        <w:t>（1</w:t>
      </w:r>
      <w:r>
        <w:rPr>
          <w:rFonts w:hint="eastAsia" w:hAnsi="宋体" w:cs="宋体"/>
          <w:kern w:val="0"/>
        </w:rPr>
        <w:t>）</w:t>
      </w:r>
      <w:r>
        <w:rPr>
          <w:rFonts w:hint="eastAsia" w:hAnsi="宋体" w:cs="宋体"/>
          <w:bCs/>
        </w:rPr>
        <w:t>售给城乡居民、社会集团消费和其他个人（如外来旅游者）的商品数量；（2</w:t>
      </w:r>
      <w:r>
        <w:rPr>
          <w:rFonts w:hint="eastAsia" w:hAnsi="宋体" w:cs="宋体"/>
          <w:kern w:val="0"/>
        </w:rPr>
        <w:t>）</w:t>
      </w:r>
      <w:r>
        <w:rPr>
          <w:rFonts w:ascii="Times New Roman" w:hAnsi="Times New Roman" w:cs="Times New Roman"/>
          <w:bCs/>
        </w:rPr>
        <w:t>售给国民经济各行业用于生产、经营使用的商品数量，包括售给批发和零售业作为转卖或加工后转卖的商品数量；（</w:t>
      </w:r>
      <w:r>
        <w:rPr>
          <w:rFonts w:hint="eastAsia" w:hAnsi="宋体" w:cs="宋体"/>
          <w:bCs/>
        </w:rPr>
        <w:t>3</w:t>
      </w:r>
      <w:r>
        <w:rPr>
          <w:rFonts w:hint="eastAsia" w:hAnsi="宋体" w:cs="宋体"/>
          <w:kern w:val="0"/>
        </w:rPr>
        <w:t>）</w:t>
      </w:r>
      <w:r>
        <w:rPr>
          <w:rFonts w:hint="eastAsia" w:hAnsi="宋体" w:cs="宋体"/>
          <w:bCs/>
        </w:rPr>
        <w:t>对国（境）外直接出口的商品数量。</w:t>
      </w:r>
    </w:p>
    <w:p>
      <w:pPr>
        <w:pStyle w:val="10"/>
        <w:spacing w:line="360" w:lineRule="exact"/>
        <w:ind w:firstLine="420" w:firstLineChars="200"/>
        <w:rPr>
          <w:rFonts w:hAnsi="宋体" w:cs="宋体"/>
          <w:bCs/>
        </w:rPr>
      </w:pPr>
      <w:r>
        <w:rPr>
          <w:rFonts w:hint="eastAsia" w:hAnsi="宋体" w:cs="宋体"/>
          <w:bCs/>
        </w:rPr>
        <w:t>商品销售量不包括：（1</w:t>
      </w:r>
      <w:r>
        <w:rPr>
          <w:rFonts w:hint="eastAsia" w:hAnsi="宋体" w:cs="宋体"/>
          <w:kern w:val="0"/>
        </w:rPr>
        <w:t>）</w:t>
      </w:r>
      <w:r>
        <w:rPr>
          <w:rFonts w:hint="eastAsia" w:hAnsi="宋体" w:cs="宋体"/>
          <w:bCs/>
        </w:rPr>
        <w:t>未通过买卖行为付出的商品数量，如：转移、借出、归还、赠送等；（2</w:t>
      </w:r>
      <w:r>
        <w:rPr>
          <w:rFonts w:hint="eastAsia" w:hAnsi="宋体" w:cs="宋体"/>
          <w:kern w:val="0"/>
        </w:rPr>
        <w:t>）</w:t>
      </w:r>
      <w:r>
        <w:rPr>
          <w:rFonts w:hint="eastAsia" w:hAnsi="宋体" w:cs="宋体"/>
          <w:bCs/>
        </w:rPr>
        <w:t>购货单位退回的商品数量；（3</w:t>
      </w:r>
      <w:r>
        <w:rPr>
          <w:rFonts w:hint="eastAsia" w:hAnsi="宋体" w:cs="宋体"/>
          <w:kern w:val="0"/>
        </w:rPr>
        <w:t>）</w:t>
      </w:r>
      <w:r>
        <w:rPr>
          <w:rFonts w:hint="eastAsia" w:hAnsi="宋体" w:cs="宋体"/>
          <w:bCs/>
        </w:rPr>
        <w:t>商品的损耗数量；（4</w:t>
      </w:r>
      <w:r>
        <w:rPr>
          <w:rFonts w:hint="eastAsia" w:hAnsi="宋体" w:cs="宋体"/>
          <w:kern w:val="0"/>
        </w:rPr>
        <w:t>）</w:t>
      </w:r>
      <w:r>
        <w:rPr>
          <w:rFonts w:hint="eastAsia" w:hAnsi="宋体" w:cs="宋体"/>
          <w:bCs/>
        </w:rPr>
        <w:t>经本单位介绍，由买卖双方直接结算，本单位只收取手续费的业务；（5）出售本单位自用的废旧商品数量。</w:t>
      </w:r>
    </w:p>
    <w:p>
      <w:pPr>
        <w:pStyle w:val="10"/>
        <w:spacing w:line="360" w:lineRule="exact"/>
        <w:ind w:firstLine="420" w:firstLineChars="200"/>
        <w:rPr>
          <w:rFonts w:ascii="Times New Roman" w:hAnsi="Times New Roman" w:cs="Times New Roman"/>
          <w:bCs/>
        </w:rPr>
      </w:pPr>
      <w:r>
        <w:rPr>
          <w:rFonts w:ascii="Times New Roman" w:hAnsi="Times New Roman" w:eastAsia="黑体" w:cs="Times New Roman"/>
          <w:bCs/>
        </w:rPr>
        <w:t>商品库存量　</w:t>
      </w:r>
      <w:r>
        <w:rPr>
          <w:rFonts w:ascii="Times New Roman" w:hAnsi="Times New Roman" w:cs="Times New Roman"/>
          <w:bCs/>
        </w:rPr>
        <w:t>指本单位已取得所有权的全部商品数量。商品库存量必须按照规定时点核算，期初库存量指报告期第一天零时的实际库存量，期末库存量指报告期最后一天</w:t>
      </w:r>
      <w:r>
        <w:rPr>
          <w:rFonts w:hint="eastAsia" w:hAnsi="宋体" w:cs="宋体"/>
          <w:bCs/>
        </w:rPr>
        <w:t>24</w:t>
      </w:r>
      <w:r>
        <w:rPr>
          <w:rFonts w:ascii="Times New Roman" w:hAnsi="Times New Roman" w:cs="Times New Roman"/>
          <w:bCs/>
        </w:rPr>
        <w:t>时的实际库存量。</w:t>
      </w:r>
    </w:p>
    <w:p>
      <w:pPr>
        <w:pStyle w:val="10"/>
        <w:spacing w:line="360" w:lineRule="exact"/>
        <w:ind w:firstLine="420" w:firstLineChars="200"/>
        <w:rPr>
          <w:rFonts w:hAnsi="宋体" w:cs="宋体"/>
          <w:bCs/>
        </w:rPr>
      </w:pPr>
      <w:r>
        <w:rPr>
          <w:rFonts w:ascii="Times New Roman" w:hAnsi="Times New Roman" w:cs="Times New Roman"/>
          <w:bCs/>
        </w:rPr>
        <w:t>商品库存量包括：</w:t>
      </w:r>
      <w:r>
        <w:rPr>
          <w:rFonts w:hint="eastAsia" w:hAnsi="宋体" w:cs="宋体"/>
          <w:bCs/>
        </w:rPr>
        <w:t>（1</w:t>
      </w:r>
      <w:r>
        <w:rPr>
          <w:rFonts w:hint="eastAsia" w:hAnsi="宋体" w:cs="宋体"/>
          <w:kern w:val="0"/>
        </w:rPr>
        <w:t>）</w:t>
      </w:r>
      <w:r>
        <w:rPr>
          <w:rFonts w:hint="eastAsia" w:hAnsi="宋体" w:cs="宋体"/>
          <w:bCs/>
        </w:rPr>
        <w:t>存放在本单位（如门市部、批发站、采购站、经营处）的仓库、货场、货柜和货架中的商品数量；（2</w:t>
      </w:r>
      <w:r>
        <w:rPr>
          <w:rFonts w:hint="eastAsia" w:hAnsi="宋体" w:cs="宋体"/>
          <w:kern w:val="0"/>
        </w:rPr>
        <w:t>）</w:t>
      </w:r>
      <w:r>
        <w:rPr>
          <w:rFonts w:hint="eastAsia" w:hAnsi="宋体" w:cs="宋体"/>
          <w:bCs/>
        </w:rPr>
        <w:t>挑选、整理、包装中的商品数量；（3）已记入购进而尚未运到的本单位的商品数量，即发货单或银行承兑凭证已到而货未到的商品数量；（4</w:t>
      </w:r>
      <w:r>
        <w:rPr>
          <w:rFonts w:hint="eastAsia" w:hAnsi="宋体" w:cs="宋体"/>
          <w:kern w:val="0"/>
        </w:rPr>
        <w:t>）</w:t>
      </w:r>
      <w:r>
        <w:rPr>
          <w:rFonts w:hint="eastAsia" w:hAnsi="宋体" w:cs="宋体"/>
          <w:bCs/>
        </w:rPr>
        <w:t>寄存在他处的商品数量，如因购货方拒绝付款而暂时存在购货方的商品数量；（5</w:t>
      </w:r>
      <w:r>
        <w:rPr>
          <w:rFonts w:hint="eastAsia" w:hAnsi="宋体" w:cs="宋体"/>
          <w:kern w:val="0"/>
        </w:rPr>
        <w:t>）</w:t>
      </w:r>
      <w:r>
        <w:rPr>
          <w:rFonts w:hint="eastAsia" w:hAnsi="宋体" w:cs="宋体"/>
          <w:bCs/>
        </w:rPr>
        <w:t>委托其他单位代销（未做销售货调出）尚未售出的商品数量；（6）代其他单位购进尚未交付的商品数量。</w:t>
      </w:r>
    </w:p>
    <w:p>
      <w:pPr>
        <w:pStyle w:val="10"/>
        <w:spacing w:line="360" w:lineRule="exact"/>
        <w:ind w:firstLine="420" w:firstLineChars="200"/>
        <w:rPr>
          <w:rFonts w:hAnsi="宋体" w:cs="宋体"/>
          <w:bCs/>
        </w:rPr>
      </w:pPr>
      <w:r>
        <w:rPr>
          <w:rFonts w:ascii="Times New Roman" w:hAnsi="Times New Roman" w:cs="Times New Roman"/>
          <w:bCs/>
        </w:rPr>
        <w:t>商品库存量不包括：（</w:t>
      </w:r>
      <w:r>
        <w:rPr>
          <w:rFonts w:hint="eastAsia" w:hAnsi="宋体" w:cs="宋体"/>
          <w:bCs/>
        </w:rPr>
        <w:t>1</w:t>
      </w:r>
      <w:r>
        <w:rPr>
          <w:rFonts w:hint="eastAsia" w:hAnsi="宋体" w:cs="宋体"/>
          <w:kern w:val="0"/>
        </w:rPr>
        <w:t>）</w:t>
      </w:r>
      <w:r>
        <w:rPr>
          <w:rFonts w:hint="eastAsia" w:hAnsi="宋体" w:cs="宋体"/>
          <w:bCs/>
        </w:rPr>
        <w:t>所有权不属于本单位的商品数量，如商品已作销售但买方尚未取走的商品数量，代替他人保管、运输、加工的商品数量，代其他单位销售（未做购进或调入）而未售出的商品数量；（2</w:t>
      </w:r>
      <w:r>
        <w:rPr>
          <w:rFonts w:hint="eastAsia" w:hAnsi="宋体" w:cs="宋体"/>
          <w:kern w:val="0"/>
        </w:rPr>
        <w:t>）</w:t>
      </w:r>
      <w:r>
        <w:rPr>
          <w:rFonts w:hint="eastAsia" w:hAnsi="宋体" w:cs="宋体"/>
          <w:bCs/>
        </w:rPr>
        <w:t>委托外单位加工的商品数量（包括本单位所属加工厂和其他生产单位加工生产尚未收回成品的商品数量）；（3</w:t>
      </w:r>
      <w:r>
        <w:rPr>
          <w:rFonts w:hint="eastAsia" w:hAnsi="宋体" w:cs="宋体"/>
          <w:kern w:val="0"/>
        </w:rPr>
        <w:t>）</w:t>
      </w:r>
      <w:r>
        <w:rPr>
          <w:rFonts w:hint="eastAsia" w:hAnsi="宋体" w:cs="宋体"/>
          <w:bCs/>
        </w:rPr>
        <w:t>外贸企业代理其他单位从国外进口，尚未付给订货单位的商品数量；（4</w:t>
      </w:r>
      <w:r>
        <w:rPr>
          <w:rFonts w:hint="eastAsia" w:hAnsi="宋体" w:cs="宋体"/>
          <w:kern w:val="0"/>
        </w:rPr>
        <w:t>）</w:t>
      </w:r>
      <w:r>
        <w:rPr>
          <w:rFonts w:hint="eastAsia" w:hAnsi="宋体" w:cs="宋体"/>
          <w:bCs/>
        </w:rPr>
        <w:t>代国家储备部门保管的商品数量。</w:t>
      </w:r>
    </w:p>
    <w:p>
      <w:pPr>
        <w:spacing w:line="360" w:lineRule="exact"/>
        <w:ind w:right="-38" w:firstLine="420" w:firstLineChars="200"/>
        <w:rPr>
          <w:rFonts w:eastAsia="仿宋_GB2312"/>
          <w:sz w:val="32"/>
          <w:szCs w:val="32"/>
        </w:rPr>
      </w:pPr>
      <w:r>
        <w:rPr>
          <w:rFonts w:eastAsia="黑体"/>
          <w:szCs w:val="21"/>
        </w:rPr>
        <w:t>购自省外</w:t>
      </w:r>
      <w:r>
        <w:rPr>
          <w:rFonts w:eastAsia="黑体"/>
          <w:bCs/>
          <w:szCs w:val="21"/>
        </w:rPr>
        <w:t xml:space="preserve">  </w:t>
      </w:r>
      <w:r>
        <w:rPr>
          <w:rFonts w:hint="eastAsia"/>
          <w:szCs w:val="21"/>
        </w:rPr>
        <w:t>指企业在报告期内从本省（自治区、直辖市）以外（包括进口）购进的能源产品数量。</w:t>
      </w:r>
    </w:p>
    <w:p>
      <w:pPr>
        <w:spacing w:line="360" w:lineRule="exact"/>
        <w:ind w:right="-38" w:firstLine="420" w:firstLineChars="200"/>
        <w:rPr>
          <w:bCs/>
          <w:szCs w:val="21"/>
        </w:rPr>
      </w:pPr>
      <w:r>
        <w:rPr>
          <w:rFonts w:eastAsia="黑体"/>
          <w:szCs w:val="21"/>
        </w:rPr>
        <w:t>销往省外</w:t>
      </w:r>
      <w:r>
        <w:rPr>
          <w:rFonts w:eastAsia="黑体"/>
          <w:bCs/>
          <w:szCs w:val="21"/>
        </w:rPr>
        <w:t xml:space="preserve">  </w:t>
      </w:r>
      <w:r>
        <w:rPr>
          <w:rFonts w:hint="eastAsia"/>
          <w:szCs w:val="21"/>
        </w:rPr>
        <w:t>指企业在报告期内销往本省（自治区、直辖市）以外（包括出口）的数量。</w:t>
      </w:r>
    </w:p>
    <w:p>
      <w:pPr>
        <w:spacing w:line="360" w:lineRule="exact"/>
        <w:ind w:right="-38" w:firstLine="420" w:firstLineChars="200"/>
        <w:rPr>
          <w:bCs/>
          <w:szCs w:val="21"/>
        </w:rPr>
      </w:pPr>
      <w:r>
        <w:rPr>
          <w:rFonts w:eastAsia="黑体"/>
          <w:szCs w:val="21"/>
        </w:rPr>
        <w:t>损耗量及其他</w:t>
      </w:r>
      <w:r>
        <w:rPr>
          <w:rFonts w:eastAsia="黑体"/>
          <w:bCs/>
          <w:szCs w:val="21"/>
        </w:rPr>
        <w:t xml:space="preserve">  </w:t>
      </w:r>
      <w:r>
        <w:rPr>
          <w:bCs/>
          <w:szCs w:val="21"/>
        </w:rPr>
        <w:t>本指标包括损耗量和其他两部分。损耗量一般指报告期内能源商品在库存或运输过程中由于各种原因产生的损耗（如物理碰撞损伤、易挥发物料的挥发、液体物料的泄露等）</w:t>
      </w:r>
      <w:r>
        <w:rPr>
          <w:rFonts w:hint="eastAsia"/>
          <w:bCs/>
          <w:szCs w:val="21"/>
        </w:rPr>
        <w:t>，</w:t>
      </w:r>
      <w:r>
        <w:rPr>
          <w:bCs/>
          <w:szCs w:val="21"/>
        </w:rPr>
        <w:t>以及企业库存的盘盈盘亏的数量；其他是指能源经销企业在报告期内将能源商品用于消费、展览、捐赠、借出以及报废等方面的数量。</w:t>
      </w:r>
    </w:p>
    <w:p>
      <w:pPr>
        <w:spacing w:beforeLines="200" w:afterLines="100" w:line="360" w:lineRule="exact"/>
        <w:jc w:val="center"/>
        <w:outlineLvl w:val="1"/>
        <w:rPr>
          <w:rFonts w:eastAsia="黑体"/>
          <w:sz w:val="28"/>
          <w:szCs w:val="28"/>
        </w:rPr>
      </w:pPr>
      <w:r>
        <w:rPr>
          <w:rFonts w:eastAsia="黑体"/>
          <w:sz w:val="28"/>
          <w:szCs w:val="28"/>
        </w:rPr>
        <w:t>（八）能源产品指标解释</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原煤</w:t>
      </w:r>
      <w:r>
        <w:rPr>
          <w:rFonts w:eastAsia="黑体"/>
          <w:bCs/>
        </w:rPr>
        <w:t xml:space="preserve">  </w:t>
      </w:r>
      <w:r>
        <w:rPr>
          <w:rFonts w:ascii="Times New Roman" w:hAnsi="Times New Roman" w:cs="Times New Roman"/>
          <w:kern w:val="0"/>
        </w:rPr>
        <w:t>指煤矿生产的、经过验收符合质量标准的原煤。即：从毛煤中选出规定粒度的矸石（包括黄铁矿等杂物）并且绝对干燥灰分在</w:t>
      </w:r>
      <w:r>
        <w:rPr>
          <w:rFonts w:hint="eastAsia" w:hAnsi="宋体" w:cs="宋体"/>
          <w:kern w:val="0"/>
        </w:rPr>
        <w:t>40%</w:t>
      </w:r>
      <w:r>
        <w:rPr>
          <w:rFonts w:ascii="Times New Roman" w:hAnsi="Times New Roman" w:cs="Times New Roman"/>
          <w:kern w:val="0"/>
        </w:rPr>
        <w:t>以下的原煤。绝对干燥灰分虽在</w:t>
      </w:r>
      <w:r>
        <w:rPr>
          <w:rFonts w:hint="eastAsia" w:hAnsi="宋体" w:cs="宋体"/>
          <w:kern w:val="0"/>
        </w:rPr>
        <w:t>40%</w:t>
      </w:r>
      <w:r>
        <w:rPr>
          <w:rFonts w:ascii="Times New Roman" w:hAnsi="Times New Roman" w:cs="Times New Roman"/>
          <w:kern w:val="0"/>
        </w:rPr>
        <w:t>以上，但经有关部门批准开采，并有消费需求的劣质煤，亦应计入原煤产量。原煤分为无烟煤、烟煤、褐煤，在烟煤中又分为炼焦烟煤和一般烟煤两种。原煤不包括石煤、泥煤（泥炭）和伴随原煤生产过程而采出的煤矸石。</w:t>
      </w:r>
    </w:p>
    <w:p>
      <w:pPr>
        <w:pStyle w:val="10"/>
        <w:adjustRightInd w:val="0"/>
        <w:spacing w:line="360" w:lineRule="exact"/>
        <w:ind w:firstLine="422" w:firstLineChars="200"/>
        <w:rPr>
          <w:rFonts w:ascii="Times New Roman" w:hAnsi="Times New Roman" w:cs="Times New Roman"/>
          <w:b/>
          <w:bCs/>
        </w:rPr>
      </w:pPr>
      <w:r>
        <w:rPr>
          <w:rFonts w:ascii="Times New Roman" w:hAnsi="Times New Roman" w:cs="Times New Roman"/>
          <w:b/>
          <w:bCs/>
        </w:rPr>
        <w:t>原煤的计量</w:t>
      </w:r>
    </w:p>
    <w:p>
      <w:pPr>
        <w:spacing w:line="360" w:lineRule="exact"/>
        <w:ind w:firstLine="420" w:firstLineChars="200"/>
        <w:rPr>
          <w:szCs w:val="21"/>
        </w:rPr>
      </w:pPr>
      <w:r>
        <w:rPr>
          <w:szCs w:val="21"/>
        </w:rPr>
        <w:t>煤炭必须加工拣选，实行选后计量，即拣出粒度大于</w:t>
      </w:r>
      <w:r>
        <w:rPr>
          <w:rFonts w:hint="eastAsia" w:ascii="宋体" w:hAnsi="宋体" w:cs="宋体"/>
          <w:szCs w:val="21"/>
        </w:rPr>
        <w:t>50</w:t>
      </w:r>
      <w:r>
        <w:rPr>
          <w:szCs w:val="21"/>
        </w:rPr>
        <w:t>毫米以上矸石后，经验收合格的，方可计算原煤产量。凡有选煤厂的矿井，出井的煤必须经过选矸后，才能计量。没有选煤厂的矿井，也应采用简易方法拣选，扣除矸石后，计算原煤产量。</w:t>
      </w:r>
    </w:p>
    <w:p>
      <w:pPr>
        <w:spacing w:line="360" w:lineRule="exact"/>
        <w:ind w:firstLine="420" w:firstLineChars="200"/>
        <w:rPr>
          <w:szCs w:val="21"/>
        </w:rPr>
      </w:pPr>
      <w:r>
        <w:rPr>
          <w:szCs w:val="21"/>
        </w:rPr>
        <w:t>原煤产量的计算应当以矿井主井口所采用的提升方式来定，但应扣除由井口提出毛煤到原煤筒仓（储煤场）之前拣出的粒度大于</w:t>
      </w:r>
      <w:r>
        <w:rPr>
          <w:rFonts w:hint="eastAsia" w:ascii="宋体" w:hAnsi="宋体" w:cs="宋体"/>
          <w:szCs w:val="21"/>
        </w:rPr>
        <w:t>50</w:t>
      </w:r>
      <w:r>
        <w:rPr>
          <w:szCs w:val="21"/>
        </w:rPr>
        <w:t>毫米的矸石。</w:t>
      </w:r>
    </w:p>
    <w:p>
      <w:pPr>
        <w:spacing w:line="360" w:lineRule="exact"/>
        <w:ind w:firstLine="420" w:firstLineChars="200"/>
        <w:rPr>
          <w:rFonts w:ascii="宋体" w:hAnsi="宋体" w:cs="宋体"/>
          <w:szCs w:val="21"/>
        </w:rPr>
      </w:pPr>
      <w:r>
        <w:rPr>
          <w:rFonts w:hint="eastAsia" w:ascii="宋体" w:hAnsi="宋体" w:cs="宋体"/>
          <w:szCs w:val="21"/>
        </w:rPr>
        <w:t>1.采用皮带运煤时，应以核子秤计量计算原煤产量。</w:t>
      </w:r>
    </w:p>
    <w:p>
      <w:pPr>
        <w:spacing w:line="360" w:lineRule="exact"/>
        <w:ind w:firstLine="420" w:firstLineChars="200"/>
        <w:rPr>
          <w:rFonts w:ascii="宋体" w:hAnsi="宋体" w:cs="宋体"/>
          <w:szCs w:val="21"/>
        </w:rPr>
      </w:pPr>
      <w:r>
        <w:rPr>
          <w:rFonts w:hint="eastAsia" w:ascii="宋体" w:hAnsi="宋体" w:cs="宋体"/>
          <w:szCs w:val="21"/>
        </w:rPr>
        <w:t>2.采用矿车运煤时，矿车计量以实际装载量计算，应扣除车底积煤。</w:t>
      </w:r>
    </w:p>
    <w:p>
      <w:pPr>
        <w:spacing w:line="360" w:lineRule="exact"/>
        <w:ind w:firstLine="420" w:firstLineChars="200"/>
        <w:rPr>
          <w:szCs w:val="21"/>
        </w:rPr>
      </w:pPr>
      <w:r>
        <w:rPr>
          <w:rFonts w:hint="eastAsia" w:ascii="宋体" w:hAnsi="宋体" w:cs="宋体"/>
          <w:szCs w:val="21"/>
        </w:rPr>
        <w:t>3.箕斗提煤时，罐率或容积比重应每季</w:t>
      </w:r>
      <w:r>
        <w:rPr>
          <w:szCs w:val="21"/>
        </w:rPr>
        <w:t>测定一次，同时要进行全水分检查，全水分超过规定指标时，应从容积比重中扣除其超过部分。</w:t>
      </w:r>
    </w:p>
    <w:p>
      <w:pPr>
        <w:pStyle w:val="10"/>
        <w:adjustRightInd w:val="0"/>
        <w:spacing w:line="360" w:lineRule="exact"/>
        <w:ind w:firstLine="420" w:firstLineChars="200"/>
        <w:rPr>
          <w:rFonts w:ascii="Times New Roman" w:hAnsi="Times New Roman" w:cs="Times New Roman"/>
        </w:rPr>
      </w:pPr>
      <w:r>
        <w:rPr>
          <w:rFonts w:ascii="Times New Roman" w:hAnsi="Times New Roman" w:cs="Times New Roman"/>
        </w:rPr>
        <w:t>对已经验收的原煤产量，因存放日久或保管不善等其他原因而导致变质（如自燃或风化</w:t>
      </w:r>
      <w:r>
        <w:rPr>
          <w:rFonts w:ascii="Times New Roman" w:hAnsi="Times New Roman" w:cs="Times New Roman"/>
          <w:kern w:val="0"/>
        </w:rPr>
        <w:t>）</w:t>
      </w:r>
      <w:r>
        <w:rPr>
          <w:rFonts w:ascii="Times New Roman" w:hAnsi="Times New Roman" w:cs="Times New Roman"/>
        </w:rPr>
        <w:t>的煤炭不算废品，产量亦不扣除。</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无烟煤</w:t>
      </w:r>
      <w:r>
        <w:rPr>
          <w:rFonts w:eastAsia="黑体"/>
          <w:bCs/>
        </w:rPr>
        <w:t xml:space="preserve">  </w:t>
      </w:r>
      <w:r>
        <w:rPr>
          <w:rFonts w:ascii="Times New Roman" w:hAnsi="Times New Roman" w:cs="Times New Roman"/>
          <w:kern w:val="0"/>
        </w:rPr>
        <w:t>指煤化程度高的原煤。其特点是挥发分低、密度大、燃点高、碳含量高、无粘结性，燃烧时多不冒烟。通常作为民用燃料，也可直接用于小型高炉炼铁等。无烟煤的干燥无灰基挥发分质量分数一般在</w:t>
      </w:r>
      <w:r>
        <w:rPr>
          <w:rFonts w:hint="eastAsia" w:hAnsi="宋体" w:cs="宋体"/>
          <w:kern w:val="0"/>
        </w:rPr>
        <w:t>10%以</w:t>
      </w:r>
      <w:r>
        <w:rPr>
          <w:rFonts w:ascii="Times New Roman" w:hAnsi="Times New Roman" w:cs="Times New Roman"/>
          <w:kern w:val="0"/>
        </w:rPr>
        <w:t>下。</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炼焦烟煤</w:t>
      </w:r>
      <w:r>
        <w:rPr>
          <w:rFonts w:eastAsia="黑体"/>
          <w:bCs/>
        </w:rPr>
        <w:t xml:space="preserve">  </w:t>
      </w:r>
      <w:r>
        <w:rPr>
          <w:rFonts w:ascii="Times New Roman" w:hAnsi="Times New Roman" w:cs="Times New Roman"/>
          <w:kern w:val="0"/>
        </w:rPr>
        <w:t>指主要可用于炼焦的烟煤，包括焦煤、</w:t>
      </w:r>
      <w:r>
        <w:rPr>
          <w:rFonts w:hint="eastAsia" w:hAnsi="宋体" w:cs="宋体"/>
          <w:kern w:val="0"/>
        </w:rPr>
        <w:t>1/3</w:t>
      </w:r>
      <w:r>
        <w:rPr>
          <w:rFonts w:ascii="Times New Roman" w:hAnsi="Times New Roman" w:cs="Times New Roman"/>
          <w:kern w:val="0"/>
        </w:rPr>
        <w:t>焦煤、肥煤、气肥煤、气煤、瘦煤、贫瘦煤、其他炼焦的烟煤。</w:t>
      </w:r>
    </w:p>
    <w:p>
      <w:pPr>
        <w:pStyle w:val="10"/>
        <w:adjustRightInd w:val="0"/>
        <w:spacing w:line="360" w:lineRule="exact"/>
        <w:ind w:firstLine="411" w:firstLineChars="196"/>
        <w:rPr>
          <w:rFonts w:ascii="Times New Roman" w:hAnsi="Times New Roman" w:cs="Times New Roman"/>
          <w:bCs/>
        </w:rPr>
      </w:pPr>
      <w:r>
        <w:rPr>
          <w:rFonts w:ascii="Times New Roman" w:hAnsi="Times New Roman" w:eastAsia="黑体" w:cs="Times New Roman"/>
        </w:rPr>
        <w:t>一般烟煤</w:t>
      </w:r>
      <w:r>
        <w:rPr>
          <w:rFonts w:eastAsia="黑体"/>
          <w:bCs/>
        </w:rPr>
        <w:t xml:space="preserve">  </w:t>
      </w:r>
      <w:r>
        <w:rPr>
          <w:rFonts w:ascii="Times New Roman" w:hAnsi="Times New Roman" w:cs="Times New Roman"/>
          <w:kern w:val="0"/>
        </w:rPr>
        <w:t>指除炼焦的烟煤以外的烟煤，包括贫煤、弱粘煤、不粘煤、长焰煤、</w:t>
      </w:r>
      <w:r>
        <w:rPr>
          <w:rFonts w:hint="eastAsia" w:hAnsi="宋体" w:cs="宋体"/>
          <w:kern w:val="0"/>
        </w:rPr>
        <w:t>1/2</w:t>
      </w:r>
      <w:r>
        <w:rPr>
          <w:rFonts w:ascii="Times New Roman" w:hAnsi="Times New Roman" w:cs="Times New Roman"/>
          <w:kern w:val="0"/>
        </w:rPr>
        <w:t>中粘煤、其他一般烟煤。</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褐煤</w:t>
      </w:r>
      <w:r>
        <w:rPr>
          <w:rFonts w:eastAsia="黑体"/>
          <w:bCs/>
        </w:rPr>
        <w:t xml:space="preserve">  </w:t>
      </w:r>
      <w:r>
        <w:rPr>
          <w:rFonts w:ascii="Times New Roman" w:hAnsi="Times New Roman" w:cs="Times New Roman"/>
          <w:kern w:val="0"/>
        </w:rPr>
        <w:t>指煤化程度低的煤，其外观多呈褐色，光泽暗淡，水分含量高，在空气中易于风化。褐煤的干燥无灰基挥发分质量分数一般在</w:t>
      </w:r>
      <w:r>
        <w:rPr>
          <w:rFonts w:hint="eastAsia" w:hAnsi="宋体" w:cs="宋体"/>
          <w:kern w:val="0"/>
        </w:rPr>
        <w:t>37%以上，透光率小于等于50%。</w:t>
      </w:r>
      <w:r>
        <w:rPr>
          <w:rFonts w:ascii="Times New Roman" w:hAnsi="Times New Roman" w:cs="Times New Roman"/>
          <w:kern w:val="0"/>
        </w:rPr>
        <w:t>褐煤多作发电燃料，也可作气化原料和锅炉燃料，有的可用来制造磺化煤、活性碳、褐煤蜡的原料。</w:t>
      </w:r>
    </w:p>
    <w:p>
      <w:pPr>
        <w:pStyle w:val="10"/>
        <w:adjustRightInd w:val="0"/>
        <w:spacing w:line="360" w:lineRule="exact"/>
        <w:ind w:firstLine="411" w:firstLineChars="196"/>
        <w:rPr>
          <w:rFonts w:ascii="Times New Roman" w:hAnsi="Times New Roman" w:eastAsia="黑体"/>
        </w:rPr>
      </w:pPr>
      <w:r>
        <w:rPr>
          <w:rFonts w:ascii="Times New Roman" w:hAnsi="Times New Roman" w:eastAsia="黑体"/>
        </w:rPr>
        <w:t>煤炭制品</w:t>
      </w:r>
      <w:r>
        <w:rPr>
          <w:rFonts w:eastAsia="黑体"/>
          <w:bCs/>
        </w:rPr>
        <w:t xml:space="preserve">  </w:t>
      </w:r>
      <w:r>
        <w:rPr>
          <w:rFonts w:hint="eastAsia" w:hAnsi="宋体" w:cs="宋体"/>
          <w:kern w:val="0"/>
        </w:rPr>
        <w:t>指</w:t>
      </w:r>
      <w:r>
        <w:rPr>
          <w:rFonts w:ascii="Times New Roman" w:hAnsi="Times New Roman"/>
          <w:kern w:val="0"/>
        </w:rPr>
        <w:t>以原煤为原料制成的</w:t>
      </w:r>
      <w:r>
        <w:rPr>
          <w:rFonts w:hint="eastAsia" w:hAnsi="宋体" w:cs="宋体"/>
          <w:kern w:val="0"/>
        </w:rPr>
        <w:t>除</w:t>
      </w:r>
      <w:r>
        <w:rPr>
          <w:rFonts w:hAnsi="宋体" w:cs="宋体"/>
          <w:kern w:val="0"/>
        </w:rPr>
        <w:t>煤制油以外</w:t>
      </w:r>
      <w:r>
        <w:rPr>
          <w:rFonts w:hint="eastAsia" w:hAnsi="宋体" w:cs="宋体"/>
          <w:kern w:val="0"/>
        </w:rPr>
        <w:t>的</w:t>
      </w:r>
      <w:r>
        <w:rPr>
          <w:rFonts w:ascii="Times New Roman" w:hAnsi="Times New Roman"/>
          <w:kern w:val="0"/>
        </w:rPr>
        <w:t>各种煤制品</w:t>
      </w:r>
      <w:r>
        <w:rPr>
          <w:rFonts w:hAnsi="宋体" w:cs="宋体"/>
          <w:kern w:val="0"/>
        </w:rPr>
        <w:t>。</w:t>
      </w:r>
      <w:r>
        <w:rPr>
          <w:rFonts w:hint="eastAsia" w:hAnsi="宋体" w:cs="宋体"/>
          <w:kern w:val="0"/>
        </w:rPr>
        <w:t>包括直接或间接由原煤经过洗选</w:t>
      </w:r>
      <w:r>
        <w:rPr>
          <w:rFonts w:hAnsi="宋体" w:cs="宋体"/>
          <w:kern w:val="0"/>
        </w:rPr>
        <w:t>、</w:t>
      </w:r>
      <w:r>
        <w:rPr>
          <w:rFonts w:hint="eastAsia" w:hAnsi="宋体" w:cs="宋体"/>
          <w:kern w:val="0"/>
        </w:rPr>
        <w:t>干馏、裂解或其他化学反应等得到的产品。</w:t>
      </w:r>
    </w:p>
    <w:p>
      <w:pPr>
        <w:pStyle w:val="10"/>
        <w:adjustRightInd w:val="0"/>
        <w:spacing w:line="360" w:lineRule="exact"/>
        <w:ind w:firstLine="411" w:firstLineChars="196"/>
        <w:rPr>
          <w:rFonts w:ascii="Times New Roman" w:hAnsi="Times New Roman" w:eastAsia="黑体" w:cs="Times New Roman"/>
        </w:rPr>
      </w:pPr>
      <w:r>
        <w:rPr>
          <w:rFonts w:ascii="Times New Roman" w:hAnsi="Times New Roman" w:eastAsia="黑体" w:cs="Times New Roman"/>
        </w:rPr>
        <w:t xml:space="preserve">洗精煤（用于炼焦） </w:t>
      </w:r>
      <w:r>
        <w:rPr>
          <w:rFonts w:ascii="Times New Roman" w:hAnsi="Times New Roman" w:cs="Times New Roman"/>
          <w:kern w:val="0"/>
        </w:rPr>
        <w:t>指原煤经洗选加工后，灰分较低、热值较高的用于炼焦的洗选煤产品，一般为炼焦选煤厂洗选产出。用于炼焦的洗精煤灰分较低，一般不超过</w:t>
      </w:r>
      <w:r>
        <w:rPr>
          <w:rFonts w:hint="eastAsia" w:hAnsi="宋体" w:cs="宋体"/>
          <w:kern w:val="0"/>
        </w:rPr>
        <w:t>12.5%。</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其他洗煤</w:t>
      </w:r>
      <w:r>
        <w:rPr>
          <w:rFonts w:eastAsia="黑体"/>
          <w:bCs/>
        </w:rPr>
        <w:t xml:space="preserve">  </w:t>
      </w:r>
      <w:r>
        <w:rPr>
          <w:rFonts w:ascii="Times New Roman" w:hAnsi="Times New Roman" w:cs="Times New Roman"/>
          <w:kern w:val="0"/>
        </w:rPr>
        <w:t>指除用于炼焦的洗精煤以外的其他洗选煤产品。</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焦炭</w:t>
      </w:r>
      <w:r>
        <w:rPr>
          <w:rFonts w:eastAsia="黑体"/>
          <w:bCs/>
        </w:rPr>
        <w:t xml:space="preserve">  </w:t>
      </w:r>
      <w:r>
        <w:rPr>
          <w:rFonts w:ascii="Times New Roman" w:hAnsi="Times New Roman"/>
          <w:kern w:val="0"/>
        </w:rPr>
        <w:t>指将各种经过洗选的煤炭按一定比例配合后，在隔绝空气的高温炭化室内经过热解、缩聚、固化、收缩等复杂的物理化学过程形成的固体燃料，呈黑灰色块状、有光泽，燃烧时烟气少，具有不粘结、不结块、低硫、低灰、坚硬、耐磨、耐压、富于气孔性等特点，主要用于冶金、化工、铸造等工艺的燃料和原料。它包括各种生产方式生产的焦炭，即包括机械化焦炉、简易焦炉、土焦炉、煤气发生炉等装置生产的所有焦炭和半焦炭。</w:t>
      </w:r>
    </w:p>
    <w:p>
      <w:pPr>
        <w:pStyle w:val="10"/>
        <w:adjustRightInd w:val="0"/>
        <w:spacing w:line="360" w:lineRule="exact"/>
        <w:ind w:firstLine="411" w:firstLineChars="196"/>
        <w:rPr>
          <w:rFonts w:ascii="Times New Roman" w:hAnsi="Times New Roman"/>
          <w:kern w:val="0"/>
        </w:rPr>
      </w:pPr>
      <w:r>
        <w:rPr>
          <w:rFonts w:hint="eastAsia" w:ascii="Times New Roman" w:hAnsi="Times New Roman" w:eastAsia="黑体"/>
        </w:rPr>
        <w:t>型煤及其他煤制品</w:t>
      </w:r>
      <w:r>
        <w:rPr>
          <w:rFonts w:ascii="Times New Roman" w:hAnsi="Times New Roman" w:eastAsia="黑体"/>
        </w:rPr>
        <w:t xml:space="preserve"> </w:t>
      </w:r>
      <w:r>
        <w:rPr>
          <w:rFonts w:eastAsia="黑体"/>
          <w:bCs/>
        </w:rPr>
        <w:t xml:space="preserve"> </w:t>
      </w:r>
      <w:r>
        <w:rPr>
          <w:rFonts w:ascii="Times New Roman" w:hAnsi="Times New Roman"/>
          <w:kern w:val="0"/>
        </w:rPr>
        <w:t>指以原煤为原料制成的各种煤制品，包括水煤浆、型煤、煤粉等。</w:t>
      </w:r>
    </w:p>
    <w:p>
      <w:pPr>
        <w:pStyle w:val="10"/>
        <w:adjustRightInd w:val="0"/>
        <w:spacing w:line="360" w:lineRule="exact"/>
        <w:ind w:firstLine="411" w:firstLineChars="196"/>
        <w:rPr>
          <w:rFonts w:hAnsi="宋体" w:cs="宋体"/>
          <w:kern w:val="0"/>
        </w:rPr>
      </w:pPr>
      <w:r>
        <w:rPr>
          <w:rFonts w:hint="eastAsia" w:ascii="Times New Roman" w:hAnsi="Times New Roman" w:eastAsia="黑体"/>
        </w:rPr>
        <w:t>煤焦油</w:t>
      </w:r>
      <w:r>
        <w:rPr>
          <w:rFonts w:eastAsia="黑体"/>
          <w:bCs/>
        </w:rPr>
        <w:t xml:space="preserve">  </w:t>
      </w:r>
      <w:r>
        <w:rPr>
          <w:rFonts w:hint="eastAsia" w:hAnsi="宋体" w:cs="宋体"/>
          <w:kern w:val="0"/>
        </w:rPr>
        <w:t>指</w:t>
      </w:r>
      <w:r>
        <w:rPr>
          <w:rFonts w:hAnsi="宋体" w:cs="宋体"/>
          <w:kern w:val="0"/>
        </w:rPr>
        <w:t>煤炭</w:t>
      </w:r>
      <w:r>
        <w:fldChar w:fldCharType="begin"/>
      </w:r>
      <w:r>
        <w:instrText xml:space="preserve"> HYPERLINK "https://baike.baidu.com/item/%E5%B9%B2%E9%A6%8F" \t "_blank" </w:instrText>
      </w:r>
      <w:r>
        <w:fldChar w:fldCharType="separate"/>
      </w:r>
      <w:r>
        <w:rPr>
          <w:rFonts w:hAnsi="宋体" w:cs="宋体"/>
          <w:kern w:val="0"/>
        </w:rPr>
        <w:t>干馏</w:t>
      </w:r>
      <w:r>
        <w:rPr>
          <w:rFonts w:hAnsi="宋体" w:cs="宋体"/>
          <w:kern w:val="0"/>
        </w:rPr>
        <w:fldChar w:fldCharType="end"/>
      </w:r>
      <w:r>
        <w:rPr>
          <w:rFonts w:hAnsi="宋体" w:cs="宋体"/>
          <w:kern w:val="0"/>
        </w:rPr>
        <w:t>时生成的具有刺激性臭味的黑色或黑褐色粘稠状液体。煤焦油按干馏温度可分为低温煤焦油、中温煤焦油和高温煤焦油。</w:t>
      </w:r>
      <w:r>
        <w:rPr>
          <w:rFonts w:hint="eastAsia" w:hAnsi="宋体" w:cs="宋体"/>
          <w:kern w:val="0"/>
        </w:rPr>
        <w:t>煤焦油可分馏出各种芳香烃、烷烃、酚类等，也可制取油毡、燃料和炭黑。</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煤气</w:t>
      </w:r>
      <w:r>
        <w:rPr>
          <w:rFonts w:eastAsia="黑体"/>
          <w:bCs/>
        </w:rPr>
        <w:t xml:space="preserve">  </w:t>
      </w:r>
      <w:r>
        <w:rPr>
          <w:rFonts w:ascii="Times New Roman" w:hAnsi="Times New Roman"/>
          <w:kern w:val="0"/>
        </w:rPr>
        <w:t>指煤、焦炭、半焦等固体燃料与燃料油等液体燃料干馏或气化所产生的可燃气体。包括焦炉煤气、高炉煤气、发生炉煤气和油煤气等。</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焦炉煤气</w:t>
      </w:r>
      <w:r>
        <w:rPr>
          <w:rFonts w:eastAsia="黑体"/>
          <w:bCs/>
        </w:rPr>
        <w:t xml:space="preserve">  </w:t>
      </w:r>
      <w:r>
        <w:rPr>
          <w:rFonts w:ascii="Times New Roman" w:hAnsi="Times New Roman"/>
          <w:kern w:val="0"/>
        </w:rPr>
        <w:t>指炼焦过程中，煤炭经高温干馏后，在产出焦炭和其他焦化产品的同时产生的可燃性气体，是炼焦产品的副产品。一吨煤在炼焦过程中可产出</w:t>
      </w:r>
      <w:r>
        <w:rPr>
          <w:rFonts w:hint="eastAsia" w:hAnsi="宋体" w:cs="宋体"/>
          <w:kern w:val="0"/>
        </w:rPr>
        <w:t>730-780千克焦炭和300-340</w:t>
      </w:r>
      <w:r>
        <w:rPr>
          <w:rFonts w:ascii="Times New Roman" w:hAnsi="Times New Roman"/>
          <w:kern w:val="0"/>
        </w:rPr>
        <w:t>立方米焦炉煤气以及35-42千克焦油。焦炉煤气热值高、燃烧快、火焰短、生成废气比重小；主要成分为甲烷、氢和一氧化碳等，可用作燃料和化工原料。</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发生炉煤气</w:t>
      </w:r>
      <w:r>
        <w:rPr>
          <w:rFonts w:eastAsia="黑体"/>
          <w:bCs/>
        </w:rPr>
        <w:t xml:space="preserve">  </w:t>
      </w:r>
      <w:r>
        <w:rPr>
          <w:rFonts w:ascii="Times New Roman" w:hAnsi="Times New Roman"/>
          <w:kern w:val="0"/>
        </w:rPr>
        <w:t>指燃料在煤气发生炉中气化得到的可燃性气体。依据所用气化剂，发生炉煤气分为以下四种：</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空气煤气</w:t>
      </w:r>
      <w:r>
        <w:rPr>
          <w:rFonts w:eastAsia="黑体"/>
          <w:bCs/>
        </w:rPr>
        <w:t xml:space="preserve">  </w:t>
      </w:r>
      <w:r>
        <w:rPr>
          <w:rFonts w:ascii="Times New Roman" w:hAnsi="Times New Roman"/>
          <w:kern w:val="0"/>
        </w:rPr>
        <w:t>亦称低热值煤气，气化剂为空气；发热量很低，用途不大，目前基本已不采用这种工艺。</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混合煤气</w:t>
      </w:r>
      <w:r>
        <w:rPr>
          <w:rFonts w:eastAsia="黑体"/>
          <w:bCs/>
        </w:rPr>
        <w:t xml:space="preserve">  </w:t>
      </w:r>
      <w:r>
        <w:rPr>
          <w:rFonts w:ascii="Times New Roman" w:hAnsi="Times New Roman"/>
          <w:kern w:val="0"/>
        </w:rPr>
        <w:t>气化剂为空气和适量蒸汽的混合物；多用于冶金、机械、建筑材料等工业的熔炉和加热炉。</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水煤气</w:t>
      </w:r>
      <w:r>
        <w:rPr>
          <w:rFonts w:eastAsia="黑体"/>
          <w:bCs/>
        </w:rPr>
        <w:t xml:space="preserve">  </w:t>
      </w:r>
      <w:r>
        <w:rPr>
          <w:rFonts w:ascii="Times New Roman" w:hAnsi="Times New Roman"/>
          <w:kern w:val="0"/>
        </w:rPr>
        <w:t>气化剂为蒸汽；除用作燃料外，还可用作合成人造液体燃料的原料和有机合成工业的原料。</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半水煤气</w:t>
      </w:r>
      <w:r>
        <w:rPr>
          <w:rFonts w:eastAsia="黑体"/>
          <w:bCs/>
        </w:rPr>
        <w:t xml:space="preserve">  </w:t>
      </w:r>
      <w:r>
        <w:rPr>
          <w:rFonts w:ascii="Times New Roman" w:hAnsi="Times New Roman"/>
          <w:kern w:val="0"/>
        </w:rPr>
        <w:t>水煤气与空气煤气的混合气；多用作合成氨的原料。</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油煤气</w:t>
      </w:r>
      <w:r>
        <w:rPr>
          <w:rFonts w:eastAsia="黑体"/>
          <w:bCs/>
        </w:rPr>
        <w:t xml:space="preserve">  </w:t>
      </w:r>
      <w:r>
        <w:rPr>
          <w:rFonts w:ascii="Times New Roman" w:hAnsi="Times New Roman"/>
          <w:kern w:val="0"/>
        </w:rPr>
        <w:t>指以重油或其它石油产品为原料转换而成的煤气。</w:t>
      </w:r>
    </w:p>
    <w:p>
      <w:pPr>
        <w:pStyle w:val="10"/>
        <w:adjustRightInd w:val="0"/>
        <w:spacing w:line="360" w:lineRule="exact"/>
        <w:ind w:firstLine="411" w:firstLineChars="196"/>
        <w:rPr>
          <w:rFonts w:ascii="Times New Roman" w:hAnsi="Times New Roman" w:eastAsia="黑体"/>
        </w:rPr>
      </w:pPr>
      <w:r>
        <w:rPr>
          <w:rFonts w:hint="eastAsia" w:ascii="Times New Roman" w:hAnsi="Times New Roman" w:eastAsia="黑体"/>
        </w:rPr>
        <w:t>再利用煤气</w:t>
      </w:r>
      <w:r>
        <w:rPr>
          <w:rFonts w:eastAsia="黑体"/>
          <w:bCs/>
        </w:rPr>
        <w:t xml:space="preserve">  </w:t>
      </w:r>
      <w:r>
        <w:rPr>
          <w:rFonts w:hint="eastAsia" w:hAnsi="宋体" w:cs="宋体"/>
          <w:kern w:val="0"/>
        </w:rPr>
        <w:t>指从</w:t>
      </w:r>
      <w:r>
        <w:rPr>
          <w:rFonts w:hAnsi="宋体" w:cs="宋体"/>
          <w:kern w:val="0"/>
        </w:rPr>
        <w:t>不</w:t>
      </w:r>
      <w:r>
        <w:rPr>
          <w:rFonts w:hint="eastAsia" w:hAnsi="宋体" w:cs="宋体"/>
          <w:kern w:val="0"/>
        </w:rPr>
        <w:t>以生产燃料</w:t>
      </w:r>
      <w:r>
        <w:rPr>
          <w:rFonts w:hAnsi="宋体" w:cs="宋体"/>
          <w:kern w:val="0"/>
        </w:rPr>
        <w:t>为目的的煤炭加工过程中</w:t>
      </w:r>
      <w:r>
        <w:rPr>
          <w:rFonts w:hint="eastAsia" w:hAnsi="宋体" w:cs="宋体"/>
          <w:kern w:val="0"/>
        </w:rPr>
        <w:t>回收</w:t>
      </w:r>
      <w:r>
        <w:rPr>
          <w:rFonts w:hAnsi="宋体" w:cs="宋体"/>
          <w:kern w:val="0"/>
        </w:rPr>
        <w:t>得到的可燃气体。</w:t>
      </w:r>
      <w:r>
        <w:rPr>
          <w:rFonts w:hint="eastAsia" w:hAnsi="宋体" w:cs="宋体"/>
          <w:kern w:val="0"/>
        </w:rPr>
        <w:t>其中</w:t>
      </w:r>
      <w:r>
        <w:rPr>
          <w:rFonts w:hAnsi="宋体" w:cs="宋体"/>
          <w:kern w:val="0"/>
        </w:rPr>
        <w:t>包括</w:t>
      </w:r>
      <w:r>
        <w:rPr>
          <w:rFonts w:hint="eastAsia" w:hAnsi="宋体" w:cs="宋体"/>
          <w:kern w:val="0"/>
        </w:rPr>
        <w:t>碳阳极、</w:t>
      </w:r>
      <w:r>
        <w:rPr>
          <w:rFonts w:hAnsi="宋体" w:cs="宋体"/>
          <w:kern w:val="0"/>
        </w:rPr>
        <w:t>碳溶于铁</w:t>
      </w:r>
      <w:r>
        <w:rPr>
          <w:rFonts w:hint="eastAsia" w:hAnsi="宋体" w:cs="宋体"/>
          <w:kern w:val="0"/>
        </w:rPr>
        <w:t>及</w:t>
      </w:r>
      <w:r>
        <w:rPr>
          <w:rFonts w:hAnsi="宋体" w:cs="宋体"/>
          <w:kern w:val="0"/>
        </w:rPr>
        <w:t>碳作为还原剂</w:t>
      </w:r>
      <w:r>
        <w:rPr>
          <w:rFonts w:hint="eastAsia" w:hAnsi="宋体" w:cs="宋体"/>
          <w:kern w:val="0"/>
        </w:rPr>
        <w:t>时</w:t>
      </w:r>
      <w:r>
        <w:rPr>
          <w:rFonts w:hAnsi="宋体" w:cs="宋体"/>
          <w:kern w:val="0"/>
        </w:rPr>
        <w:t>部分氧化得到的一氧化碳。</w:t>
      </w:r>
      <w:r>
        <w:rPr>
          <w:rFonts w:hint="eastAsia" w:hAnsi="宋体" w:cs="宋体"/>
          <w:kern w:val="0"/>
        </w:rPr>
        <w:t>主要包括高炉煤气、转炉煤气、氧化煤气等。</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高炉煤气</w:t>
      </w:r>
      <w:r>
        <w:rPr>
          <w:rFonts w:eastAsia="黑体"/>
          <w:bCs/>
        </w:rPr>
        <w:t xml:space="preserve">  </w:t>
      </w:r>
      <w:r>
        <w:rPr>
          <w:rFonts w:ascii="Times New Roman" w:hAnsi="Times New Roman"/>
          <w:kern w:val="0"/>
        </w:rPr>
        <w:t>指炼铁过程中从高炉炉顶逸出的可燃性气体，是炼铁过程的副产品；其理论燃烧温度约为</w:t>
      </w:r>
      <w:r>
        <w:rPr>
          <w:rFonts w:hint="eastAsia" w:hAnsi="宋体" w:cs="宋体"/>
          <w:kern w:val="0"/>
        </w:rPr>
        <w:t>1400-1500℃</w:t>
      </w:r>
      <w:r>
        <w:rPr>
          <w:rFonts w:ascii="Times New Roman" w:hAnsi="Times New Roman"/>
          <w:kern w:val="0"/>
        </w:rPr>
        <w:t>，含有大量粉尘（约</w:t>
      </w:r>
      <w:r>
        <w:rPr>
          <w:rFonts w:hint="eastAsia" w:hAnsi="宋体" w:cs="宋体"/>
          <w:kern w:val="0"/>
        </w:rPr>
        <w:t>60-80</w:t>
      </w:r>
      <w:r>
        <w:rPr>
          <w:rFonts w:ascii="Times New Roman" w:hAnsi="Times New Roman"/>
          <w:kern w:val="0"/>
        </w:rPr>
        <w:t>克／立方米），所以需要除尘处理，并在可能的情况下将其和空气预热以提高燃烧温度。据统计，高炉每消耗</w:t>
      </w:r>
      <w:r>
        <w:rPr>
          <w:rFonts w:hint="eastAsia" w:hAnsi="宋体" w:cs="宋体"/>
          <w:kern w:val="0"/>
        </w:rPr>
        <w:t>1</w:t>
      </w:r>
      <w:r>
        <w:rPr>
          <w:rFonts w:ascii="Times New Roman" w:hAnsi="Times New Roman"/>
          <w:kern w:val="0"/>
        </w:rPr>
        <w:t>吨焦炭约可产出</w:t>
      </w:r>
      <w:r>
        <w:rPr>
          <w:rFonts w:hint="eastAsia" w:hAnsi="宋体" w:cs="宋体"/>
          <w:kern w:val="0"/>
        </w:rPr>
        <w:t>3800-4000立</w:t>
      </w:r>
      <w:r>
        <w:rPr>
          <w:rFonts w:ascii="Times New Roman" w:hAnsi="Times New Roman"/>
          <w:kern w:val="0"/>
        </w:rPr>
        <w:t>方米高炉煤气（约有</w:t>
      </w:r>
      <w:r>
        <w:rPr>
          <w:rFonts w:hint="eastAsia" w:hAnsi="宋体" w:cs="宋体"/>
          <w:kern w:val="0"/>
        </w:rPr>
        <w:t>60%</w:t>
      </w:r>
      <w:r>
        <w:rPr>
          <w:rFonts w:ascii="Times New Roman" w:hAnsi="Times New Roman"/>
          <w:kern w:val="0"/>
        </w:rPr>
        <w:t>的燃料转变为高炉煤气）。在冶金联合企业，它主要用于焦炉，以及与焦炉煤气混合用作发电或其他燃料。</w:t>
      </w:r>
    </w:p>
    <w:p>
      <w:pPr>
        <w:pStyle w:val="10"/>
        <w:adjustRightInd w:val="0"/>
        <w:spacing w:line="360" w:lineRule="exact"/>
        <w:ind w:firstLine="411" w:firstLineChars="196"/>
        <w:rPr>
          <w:rFonts w:ascii="Times New Roman" w:hAnsi="Times New Roman" w:eastAsia="黑体" w:cs="Times New Roman"/>
        </w:rPr>
      </w:pPr>
      <w:r>
        <w:rPr>
          <w:rFonts w:hint="eastAsia" w:ascii="Times New Roman" w:hAnsi="Times New Roman" w:eastAsia="黑体" w:cs="Times New Roman"/>
        </w:rPr>
        <w:t xml:space="preserve">煤制天然气  </w:t>
      </w:r>
      <w:r>
        <w:rPr>
          <w:rFonts w:hint="eastAsia" w:ascii="Times New Roman" w:hAnsi="Times New Roman"/>
          <w:kern w:val="0"/>
        </w:rPr>
        <w:t>指以煤为原料经过加压气化后，脱硫提纯制得的含有可燃组分的气体。</w:t>
      </w:r>
    </w:p>
    <w:p>
      <w:pPr>
        <w:pStyle w:val="10"/>
        <w:adjustRightInd w:val="0"/>
        <w:spacing w:line="360" w:lineRule="exact"/>
        <w:ind w:firstLine="411" w:firstLineChars="196"/>
        <w:rPr>
          <w:rFonts w:hAnsi="宋体" w:cs="宋体"/>
          <w:kern w:val="0"/>
        </w:rPr>
      </w:pPr>
      <w:r>
        <w:rPr>
          <w:rFonts w:ascii="Times New Roman" w:hAnsi="Times New Roman" w:eastAsia="黑体"/>
        </w:rPr>
        <w:t>煤制油</w:t>
      </w:r>
      <w:r>
        <w:rPr>
          <w:rFonts w:eastAsia="黑体"/>
          <w:bCs/>
        </w:rPr>
        <w:t xml:space="preserve">  </w:t>
      </w:r>
      <w:r>
        <w:rPr>
          <w:rFonts w:hint="eastAsia" w:hAnsi="宋体" w:cs="宋体"/>
          <w:kern w:val="0"/>
        </w:rPr>
        <w:t>指以</w:t>
      </w:r>
      <w:r>
        <w:rPr>
          <w:rFonts w:hAnsi="宋体" w:cs="宋体"/>
          <w:kern w:val="0"/>
        </w:rPr>
        <w:t>煤炭为原料，通过化学加工过程生产</w:t>
      </w:r>
      <w:r>
        <w:rPr>
          <w:rFonts w:hint="eastAsia" w:hAnsi="宋体" w:cs="宋体"/>
          <w:kern w:val="0"/>
        </w:rPr>
        <w:t>的</w:t>
      </w:r>
      <w:r>
        <w:rPr>
          <w:rFonts w:hAnsi="宋体" w:cs="宋体"/>
          <w:kern w:val="0"/>
        </w:rPr>
        <w:t>油品和石油化工产品</w:t>
      </w:r>
      <w:r>
        <w:rPr>
          <w:rFonts w:hint="eastAsia" w:hAnsi="宋体" w:cs="宋体"/>
          <w:kern w:val="0"/>
        </w:rPr>
        <w:t>，</w:t>
      </w:r>
      <w:r>
        <w:rPr>
          <w:rFonts w:hAnsi="宋体" w:cs="宋体"/>
          <w:kern w:val="0"/>
        </w:rPr>
        <w:t>包含煤直接液化和煤间接液化两种技术路线。煤的直接液化将煤在高温高压条件下，通过</w:t>
      </w:r>
      <w:r>
        <w:fldChar w:fldCharType="begin"/>
      </w:r>
      <w:r>
        <w:instrText xml:space="preserve"> HYPERLINK "https://baike.baidu.com/item/%E5%82%AC%E5%8C%96%E5%8A%A0%E6%B0%A2" \t "_blank" </w:instrText>
      </w:r>
      <w:r>
        <w:fldChar w:fldCharType="separate"/>
      </w:r>
      <w:r>
        <w:rPr>
          <w:rFonts w:hAnsi="宋体" w:cs="宋体"/>
          <w:kern w:val="0"/>
        </w:rPr>
        <w:t>催化加氢</w:t>
      </w:r>
      <w:r>
        <w:rPr>
          <w:rFonts w:hAnsi="宋体" w:cs="宋体"/>
          <w:kern w:val="0"/>
        </w:rPr>
        <w:fldChar w:fldCharType="end"/>
      </w:r>
      <w:r>
        <w:rPr>
          <w:rFonts w:hAnsi="宋体" w:cs="宋体"/>
          <w:kern w:val="0"/>
        </w:rPr>
        <w:t>直接液化合成液态</w:t>
      </w:r>
      <w:r>
        <w:fldChar w:fldCharType="begin"/>
      </w:r>
      <w:r>
        <w:instrText xml:space="preserve"> HYPERLINK "https://baike.baidu.com/item/%E7%83%83%E7%B1%BB%E7%87%83%E6%96%99" \t "_blank" </w:instrText>
      </w:r>
      <w:r>
        <w:fldChar w:fldCharType="separate"/>
      </w:r>
      <w:r>
        <w:rPr>
          <w:rFonts w:hAnsi="宋体" w:cs="宋体"/>
          <w:kern w:val="0"/>
        </w:rPr>
        <w:t>烃类燃料</w:t>
      </w:r>
      <w:r>
        <w:rPr>
          <w:rFonts w:hAnsi="宋体" w:cs="宋体"/>
          <w:kern w:val="0"/>
        </w:rPr>
        <w:fldChar w:fldCharType="end"/>
      </w:r>
      <w:r>
        <w:rPr>
          <w:rFonts w:hAnsi="宋体" w:cs="宋体"/>
          <w:kern w:val="0"/>
        </w:rPr>
        <w:t>，并脱除硫、氮、氧等</w:t>
      </w:r>
      <w:r>
        <w:fldChar w:fldCharType="begin"/>
      </w:r>
      <w:r>
        <w:instrText xml:space="preserve"> HYPERLINK "https://baike.baidu.com/item/%E5%8E%9F%E5%AD%90" \t "_blank" </w:instrText>
      </w:r>
      <w:r>
        <w:fldChar w:fldCharType="separate"/>
      </w:r>
      <w:r>
        <w:rPr>
          <w:rFonts w:hAnsi="宋体" w:cs="宋体"/>
          <w:kern w:val="0"/>
        </w:rPr>
        <w:t>原子</w:t>
      </w:r>
      <w:r>
        <w:rPr>
          <w:rFonts w:hAnsi="宋体" w:cs="宋体"/>
          <w:kern w:val="0"/>
        </w:rPr>
        <w:fldChar w:fldCharType="end"/>
      </w:r>
      <w:r>
        <w:rPr>
          <w:rFonts w:hAnsi="宋体" w:cs="宋体"/>
          <w:kern w:val="0"/>
        </w:rPr>
        <w:t>。煤的间接液化首先把煤气化</w:t>
      </w:r>
      <w:r>
        <w:rPr>
          <w:rFonts w:hint="eastAsia" w:hAnsi="宋体" w:cs="宋体"/>
          <w:kern w:val="0"/>
        </w:rPr>
        <w:t>为</w:t>
      </w:r>
      <w:r>
        <w:rPr>
          <w:rFonts w:hAnsi="宋体" w:cs="宋体"/>
          <w:kern w:val="0"/>
        </w:rPr>
        <w:t>合成气，再通过费托合成转化为烃类燃料</w:t>
      </w:r>
      <w:r>
        <w:rPr>
          <w:rFonts w:hint="eastAsia" w:hAnsi="宋体" w:cs="宋体"/>
          <w:kern w:val="0"/>
        </w:rPr>
        <w:t>。</w:t>
      </w:r>
    </w:p>
    <w:p>
      <w:pPr>
        <w:pStyle w:val="10"/>
        <w:adjustRightInd w:val="0"/>
        <w:spacing w:line="360" w:lineRule="exact"/>
        <w:ind w:firstLine="411" w:firstLineChars="196"/>
        <w:rPr>
          <w:rFonts w:hAnsi="宋体" w:cs="宋体"/>
          <w:kern w:val="0"/>
        </w:rPr>
      </w:pPr>
      <w:r>
        <w:rPr>
          <w:rFonts w:hint="eastAsia" w:ascii="Times New Roman" w:hAnsi="Times New Roman" w:eastAsia="黑体"/>
        </w:rPr>
        <w:t>煤制石脑油</w:t>
      </w:r>
      <w:r>
        <w:rPr>
          <w:rFonts w:eastAsia="黑体"/>
          <w:bCs/>
        </w:rPr>
        <w:t xml:space="preserve">  </w:t>
      </w:r>
      <w:r>
        <w:rPr>
          <w:rFonts w:hint="eastAsia" w:hAnsi="宋体" w:cs="宋体"/>
          <w:kern w:val="0"/>
        </w:rPr>
        <w:t>指</w:t>
      </w:r>
      <w:r>
        <w:rPr>
          <w:rFonts w:hAnsi="宋体" w:cs="宋体"/>
          <w:kern w:val="0"/>
        </w:rPr>
        <w:t>以</w:t>
      </w:r>
      <w:r>
        <w:rPr>
          <w:rFonts w:hint="eastAsia" w:hAnsi="宋体" w:cs="宋体"/>
          <w:kern w:val="0"/>
        </w:rPr>
        <w:t>煤炭</w:t>
      </w:r>
      <w:r>
        <w:rPr>
          <w:rFonts w:hAnsi="宋体" w:cs="宋体"/>
          <w:kern w:val="0"/>
        </w:rPr>
        <w:t>为原料</w:t>
      </w:r>
      <w:r>
        <w:rPr>
          <w:rFonts w:hint="eastAsia" w:hAnsi="宋体" w:cs="宋体"/>
          <w:kern w:val="0"/>
        </w:rPr>
        <w:t>，</w:t>
      </w:r>
      <w:r>
        <w:rPr>
          <w:rFonts w:hAnsi="宋体" w:cs="宋体"/>
          <w:kern w:val="0"/>
        </w:rPr>
        <w:t>通过直接液化或间接液化得到的</w:t>
      </w:r>
      <w:r>
        <w:rPr>
          <w:rFonts w:hint="eastAsia" w:hAnsi="宋体" w:cs="宋体"/>
          <w:kern w:val="0"/>
        </w:rPr>
        <w:t>产品</w:t>
      </w:r>
      <w:r>
        <w:rPr>
          <w:rFonts w:hAnsi="宋体" w:cs="宋体"/>
          <w:kern w:val="0"/>
        </w:rPr>
        <w:t>之一，</w:t>
      </w:r>
      <w:r>
        <w:rPr>
          <w:rFonts w:hint="eastAsia" w:hAnsi="宋体" w:cs="宋体"/>
          <w:kern w:val="0"/>
        </w:rPr>
        <w:t>或者</w:t>
      </w:r>
      <w:r>
        <w:rPr>
          <w:rFonts w:hAnsi="宋体" w:cs="宋体"/>
          <w:kern w:val="0"/>
        </w:rPr>
        <w:t>是由煤焦油</w:t>
      </w:r>
      <w:r>
        <w:rPr>
          <w:rFonts w:hint="eastAsia" w:hAnsi="宋体" w:cs="宋体"/>
          <w:kern w:val="0"/>
        </w:rPr>
        <w:t>通过</w:t>
      </w:r>
      <w:r>
        <w:rPr>
          <w:rFonts w:hAnsi="宋体" w:cs="宋体"/>
          <w:kern w:val="0"/>
        </w:rPr>
        <w:t>化学加工得</w:t>
      </w:r>
      <w:r>
        <w:rPr>
          <w:rFonts w:hint="eastAsia" w:hAnsi="宋体" w:cs="宋体"/>
          <w:kern w:val="0"/>
        </w:rPr>
        <w:t>。</w:t>
      </w:r>
      <w:r>
        <w:rPr>
          <w:rFonts w:hAnsi="宋体" w:cs="宋体"/>
          <w:kern w:val="0"/>
        </w:rPr>
        <w:t>主要由芳烃、烷烃等</w:t>
      </w:r>
      <w:r>
        <w:rPr>
          <w:rFonts w:hint="eastAsia" w:hAnsi="宋体" w:cs="宋体"/>
          <w:kern w:val="0"/>
        </w:rPr>
        <w:t>组分组成</w:t>
      </w:r>
      <w:r>
        <w:rPr>
          <w:rFonts w:hAnsi="宋体" w:cs="宋体"/>
          <w:kern w:val="0"/>
        </w:rPr>
        <w:t>。</w:t>
      </w:r>
      <w:r>
        <w:rPr>
          <w:rFonts w:hint="eastAsia" w:hAnsi="宋体" w:cs="宋体"/>
          <w:kern w:val="0"/>
        </w:rPr>
        <w:t>煤制石脑油</w:t>
      </w:r>
      <w:r>
        <w:rPr>
          <w:rFonts w:hAnsi="宋体" w:cs="宋体"/>
          <w:kern w:val="0"/>
        </w:rPr>
        <w:t>与石油基石脑油</w:t>
      </w:r>
      <w:r>
        <w:rPr>
          <w:rFonts w:hint="eastAsia" w:hAnsi="宋体" w:cs="宋体"/>
          <w:kern w:val="0"/>
        </w:rPr>
        <w:t>有一定</w:t>
      </w:r>
      <w:r>
        <w:rPr>
          <w:rFonts w:hAnsi="宋体" w:cs="宋体"/>
          <w:kern w:val="0"/>
        </w:rPr>
        <w:t>区别，</w:t>
      </w:r>
      <w:r>
        <w:rPr>
          <w:rFonts w:hint="eastAsia" w:hAnsi="宋体" w:cs="宋体"/>
          <w:kern w:val="0"/>
        </w:rPr>
        <w:t>纯苯</w:t>
      </w:r>
      <w:r>
        <w:rPr>
          <w:rFonts w:hAnsi="宋体" w:cs="宋体"/>
          <w:kern w:val="0"/>
        </w:rPr>
        <w:t>、甲苯及二甲苯含量</w:t>
      </w:r>
      <w:r>
        <w:rPr>
          <w:rFonts w:hint="eastAsia" w:hAnsi="宋体" w:cs="宋体"/>
          <w:kern w:val="0"/>
        </w:rPr>
        <w:t>较高</w:t>
      </w:r>
      <w:r>
        <w:rPr>
          <w:rFonts w:hAnsi="宋体" w:cs="宋体"/>
          <w:kern w:val="0"/>
        </w:rPr>
        <w:t>，</w:t>
      </w:r>
      <w:r>
        <w:rPr>
          <w:rFonts w:hint="eastAsia" w:hAnsi="宋体" w:cs="宋体"/>
          <w:kern w:val="0"/>
        </w:rPr>
        <w:t>且</w:t>
      </w:r>
      <w:r>
        <w:rPr>
          <w:rFonts w:hAnsi="宋体" w:cs="宋体"/>
          <w:kern w:val="0"/>
        </w:rPr>
        <w:t>含硫量较高</w:t>
      </w:r>
      <w:r>
        <w:rPr>
          <w:rFonts w:hint="eastAsia" w:hAnsi="宋体" w:cs="宋体"/>
          <w:kern w:val="0"/>
        </w:rPr>
        <w:t>。</w:t>
      </w:r>
    </w:p>
    <w:p>
      <w:pPr>
        <w:pStyle w:val="10"/>
        <w:adjustRightInd w:val="0"/>
        <w:spacing w:line="360" w:lineRule="exact"/>
        <w:ind w:firstLine="411" w:firstLineChars="196"/>
        <w:rPr>
          <w:rFonts w:hAnsi="宋体" w:cs="宋体"/>
          <w:kern w:val="0"/>
        </w:rPr>
      </w:pPr>
      <w:r>
        <w:rPr>
          <w:rFonts w:hint="eastAsia" w:ascii="Times New Roman" w:hAnsi="Times New Roman" w:eastAsia="黑体"/>
        </w:rPr>
        <w:t>煤制汽油</w:t>
      </w:r>
      <w:r>
        <w:rPr>
          <w:rFonts w:eastAsia="黑体"/>
          <w:bCs/>
        </w:rPr>
        <w:t xml:space="preserve">  </w:t>
      </w:r>
      <w:r>
        <w:rPr>
          <w:rFonts w:hint="eastAsia" w:hAnsi="宋体" w:cs="宋体"/>
          <w:kern w:val="0"/>
        </w:rPr>
        <w:t>指</w:t>
      </w:r>
      <w:r>
        <w:rPr>
          <w:rFonts w:hAnsi="宋体" w:cs="宋体"/>
          <w:kern w:val="0"/>
        </w:rPr>
        <w:t>以</w:t>
      </w:r>
      <w:r>
        <w:rPr>
          <w:rFonts w:hint="eastAsia" w:hAnsi="宋体" w:cs="宋体"/>
          <w:kern w:val="0"/>
        </w:rPr>
        <w:t>煤炭</w:t>
      </w:r>
      <w:r>
        <w:rPr>
          <w:rFonts w:hAnsi="宋体" w:cs="宋体"/>
          <w:kern w:val="0"/>
        </w:rPr>
        <w:t>为原料</w:t>
      </w:r>
      <w:r>
        <w:rPr>
          <w:rFonts w:hint="eastAsia" w:hAnsi="宋体" w:cs="宋体"/>
          <w:kern w:val="0"/>
        </w:rPr>
        <w:t>，</w:t>
      </w:r>
      <w:r>
        <w:rPr>
          <w:rFonts w:hAnsi="宋体" w:cs="宋体"/>
          <w:kern w:val="0"/>
        </w:rPr>
        <w:t>通过直接液化或间接液化</w:t>
      </w:r>
      <w:r>
        <w:rPr>
          <w:rFonts w:hint="eastAsia" w:hAnsi="宋体" w:cs="宋体"/>
          <w:kern w:val="0"/>
        </w:rPr>
        <w:t>及</w:t>
      </w:r>
      <w:r>
        <w:rPr>
          <w:rFonts w:hAnsi="宋体" w:cs="宋体"/>
          <w:kern w:val="0"/>
        </w:rPr>
        <w:t>催化重整等化学加工过程</w:t>
      </w:r>
      <w:r>
        <w:rPr>
          <w:rFonts w:hint="eastAsia" w:hAnsi="宋体" w:cs="宋体"/>
          <w:kern w:val="0"/>
        </w:rPr>
        <w:t>或是</w:t>
      </w:r>
      <w:r>
        <w:rPr>
          <w:rFonts w:hAnsi="宋体" w:cs="宋体"/>
          <w:kern w:val="0"/>
        </w:rPr>
        <w:t>由煤焦油</w:t>
      </w:r>
      <w:r>
        <w:rPr>
          <w:rFonts w:hint="eastAsia" w:hAnsi="宋体" w:cs="宋体"/>
          <w:kern w:val="0"/>
        </w:rPr>
        <w:t>通过</w:t>
      </w:r>
      <w:r>
        <w:rPr>
          <w:rFonts w:hAnsi="宋体" w:cs="宋体"/>
          <w:kern w:val="0"/>
        </w:rPr>
        <w:t>化学加工得到的</w:t>
      </w:r>
      <w:r>
        <w:rPr>
          <w:rFonts w:hint="eastAsia" w:hAnsi="宋体" w:cs="宋体"/>
          <w:kern w:val="0"/>
        </w:rPr>
        <w:t>汽油。</w:t>
      </w:r>
    </w:p>
    <w:p>
      <w:pPr>
        <w:pStyle w:val="10"/>
        <w:adjustRightInd w:val="0"/>
        <w:spacing w:line="360" w:lineRule="exact"/>
        <w:ind w:firstLine="411" w:firstLineChars="196"/>
        <w:rPr>
          <w:rFonts w:hAnsi="宋体" w:cs="宋体"/>
          <w:kern w:val="0"/>
        </w:rPr>
      </w:pPr>
      <w:r>
        <w:rPr>
          <w:rFonts w:hint="eastAsia" w:ascii="Times New Roman" w:hAnsi="Times New Roman" w:eastAsia="黑体"/>
        </w:rPr>
        <w:t xml:space="preserve">煤制柴油  </w:t>
      </w:r>
      <w:r>
        <w:rPr>
          <w:rFonts w:hAnsi="宋体" w:cs="宋体"/>
          <w:kern w:val="0"/>
        </w:rPr>
        <w:t>通以</w:t>
      </w:r>
      <w:r>
        <w:rPr>
          <w:rFonts w:hint="eastAsia" w:hAnsi="宋体" w:cs="宋体"/>
          <w:kern w:val="0"/>
        </w:rPr>
        <w:t>煤炭</w:t>
      </w:r>
      <w:r>
        <w:rPr>
          <w:rFonts w:hAnsi="宋体" w:cs="宋体"/>
          <w:kern w:val="0"/>
        </w:rPr>
        <w:t>为原料</w:t>
      </w:r>
      <w:r>
        <w:rPr>
          <w:rFonts w:hint="eastAsia" w:hAnsi="宋体" w:cs="宋体"/>
          <w:kern w:val="0"/>
        </w:rPr>
        <w:t>，</w:t>
      </w:r>
      <w:r>
        <w:rPr>
          <w:rFonts w:hAnsi="宋体" w:cs="宋体"/>
          <w:kern w:val="0"/>
        </w:rPr>
        <w:t>过直接液化或间接液化</w:t>
      </w:r>
      <w:r>
        <w:rPr>
          <w:rFonts w:hint="eastAsia" w:hAnsi="宋体" w:cs="宋体"/>
          <w:kern w:val="0"/>
        </w:rPr>
        <w:t>及</w:t>
      </w:r>
      <w:r>
        <w:rPr>
          <w:rFonts w:hAnsi="宋体" w:cs="宋体"/>
          <w:kern w:val="0"/>
        </w:rPr>
        <w:t>催化重整等化学加工过程</w:t>
      </w:r>
      <w:r>
        <w:rPr>
          <w:rFonts w:hint="eastAsia" w:hAnsi="宋体" w:cs="宋体"/>
          <w:kern w:val="0"/>
        </w:rPr>
        <w:t>或是</w:t>
      </w:r>
      <w:r>
        <w:rPr>
          <w:rFonts w:hAnsi="宋体" w:cs="宋体"/>
          <w:kern w:val="0"/>
        </w:rPr>
        <w:t>由煤焦油</w:t>
      </w:r>
      <w:r>
        <w:rPr>
          <w:rFonts w:hint="eastAsia" w:hAnsi="宋体" w:cs="宋体"/>
          <w:kern w:val="0"/>
        </w:rPr>
        <w:t>通过</w:t>
      </w:r>
      <w:r>
        <w:rPr>
          <w:rFonts w:hAnsi="宋体" w:cs="宋体"/>
          <w:kern w:val="0"/>
        </w:rPr>
        <w:t>化学加工得到的</w:t>
      </w:r>
      <w:r>
        <w:rPr>
          <w:rFonts w:hint="eastAsia" w:hAnsi="宋体" w:cs="宋体"/>
          <w:kern w:val="0"/>
        </w:rPr>
        <w:t>柴油。</w:t>
      </w:r>
    </w:p>
    <w:p>
      <w:pPr>
        <w:pStyle w:val="10"/>
        <w:adjustRightInd w:val="0"/>
        <w:spacing w:line="360" w:lineRule="exact"/>
        <w:ind w:firstLine="411" w:firstLineChars="196"/>
        <w:rPr>
          <w:rFonts w:hAnsi="宋体" w:cs="宋体"/>
          <w:kern w:val="0"/>
        </w:rPr>
      </w:pPr>
      <w:r>
        <w:rPr>
          <w:rFonts w:hint="eastAsia" w:ascii="Times New Roman" w:hAnsi="Times New Roman" w:eastAsia="黑体"/>
        </w:rPr>
        <w:t>煤制航空燃料</w:t>
      </w:r>
      <w:r>
        <w:rPr>
          <w:rFonts w:eastAsia="黑体"/>
          <w:bCs/>
        </w:rPr>
        <w:t xml:space="preserve">  </w:t>
      </w:r>
      <w:r>
        <w:rPr>
          <w:rFonts w:hint="eastAsia" w:hAnsi="宋体" w:cs="宋体"/>
          <w:kern w:val="0"/>
        </w:rPr>
        <w:t>指</w:t>
      </w:r>
      <w:r>
        <w:rPr>
          <w:rFonts w:hAnsi="宋体" w:cs="宋体"/>
          <w:kern w:val="0"/>
        </w:rPr>
        <w:t>以</w:t>
      </w:r>
      <w:r>
        <w:rPr>
          <w:rFonts w:hint="eastAsia" w:hAnsi="宋体" w:cs="宋体"/>
          <w:kern w:val="0"/>
        </w:rPr>
        <w:t>煤炭</w:t>
      </w:r>
      <w:r>
        <w:rPr>
          <w:rFonts w:hAnsi="宋体" w:cs="宋体"/>
          <w:kern w:val="0"/>
        </w:rPr>
        <w:t>为原料</w:t>
      </w:r>
      <w:r>
        <w:rPr>
          <w:rFonts w:hint="eastAsia" w:hAnsi="宋体" w:cs="宋体"/>
          <w:kern w:val="0"/>
        </w:rPr>
        <w:t>，</w:t>
      </w:r>
      <w:r>
        <w:rPr>
          <w:rFonts w:hAnsi="宋体" w:cs="宋体"/>
          <w:kern w:val="0"/>
        </w:rPr>
        <w:t>通过直接液化或间接液化</w:t>
      </w:r>
      <w:r>
        <w:rPr>
          <w:rFonts w:hint="eastAsia" w:hAnsi="宋体" w:cs="宋体"/>
          <w:kern w:val="0"/>
        </w:rPr>
        <w:t>及</w:t>
      </w:r>
      <w:r>
        <w:rPr>
          <w:rFonts w:hAnsi="宋体" w:cs="宋体"/>
          <w:kern w:val="0"/>
        </w:rPr>
        <w:t>催化重整等化学加工过程</w:t>
      </w:r>
      <w:r>
        <w:rPr>
          <w:rFonts w:hint="eastAsia" w:hAnsi="宋体" w:cs="宋体"/>
          <w:kern w:val="0"/>
        </w:rPr>
        <w:t>得到</w:t>
      </w:r>
      <w:r>
        <w:rPr>
          <w:rFonts w:hAnsi="宋体" w:cs="宋体"/>
          <w:kern w:val="0"/>
        </w:rPr>
        <w:t>的航空</w:t>
      </w:r>
      <w:r>
        <w:rPr>
          <w:rFonts w:hint="eastAsia" w:hAnsi="宋体" w:cs="宋体"/>
          <w:kern w:val="0"/>
        </w:rPr>
        <w:t>煤油等</w:t>
      </w:r>
      <w:r>
        <w:rPr>
          <w:rFonts w:hAnsi="宋体" w:cs="宋体"/>
          <w:kern w:val="0"/>
        </w:rPr>
        <w:t>航空燃料。</w:t>
      </w:r>
    </w:p>
    <w:p>
      <w:pPr>
        <w:pStyle w:val="10"/>
        <w:adjustRightInd w:val="0"/>
        <w:spacing w:line="360" w:lineRule="exact"/>
        <w:ind w:firstLine="411" w:firstLineChars="196"/>
        <w:rPr>
          <w:rFonts w:hAnsi="宋体" w:cs="宋体"/>
          <w:kern w:val="0"/>
        </w:rPr>
      </w:pPr>
      <w:r>
        <w:rPr>
          <w:rFonts w:hint="eastAsia" w:ascii="Times New Roman" w:hAnsi="Times New Roman" w:eastAsia="黑体"/>
        </w:rPr>
        <w:t>煤制石蜡</w:t>
      </w:r>
      <w:r>
        <w:rPr>
          <w:rFonts w:eastAsia="黑体"/>
          <w:bCs/>
        </w:rPr>
        <w:t xml:space="preserve">  </w:t>
      </w:r>
      <w:r>
        <w:rPr>
          <w:rFonts w:hint="eastAsia" w:hAnsi="宋体" w:cs="宋体"/>
          <w:kern w:val="0"/>
        </w:rPr>
        <w:t>指煤</w:t>
      </w:r>
      <w:r>
        <w:rPr>
          <w:rFonts w:hAnsi="宋体" w:cs="宋体"/>
          <w:kern w:val="0"/>
        </w:rPr>
        <w:t>通过间接液化等化学加工过程</w:t>
      </w:r>
      <w:r>
        <w:rPr>
          <w:rFonts w:hint="eastAsia" w:hAnsi="宋体" w:cs="宋体"/>
          <w:kern w:val="0"/>
        </w:rPr>
        <w:t>得到</w:t>
      </w:r>
      <w:r>
        <w:rPr>
          <w:rFonts w:hAnsi="宋体" w:cs="宋体"/>
          <w:kern w:val="0"/>
        </w:rPr>
        <w:t>的石蜡。</w:t>
      </w:r>
    </w:p>
    <w:p>
      <w:pPr>
        <w:pStyle w:val="10"/>
        <w:adjustRightInd w:val="0"/>
        <w:spacing w:line="360" w:lineRule="exact"/>
        <w:ind w:firstLine="411" w:firstLineChars="196"/>
        <w:rPr>
          <w:rFonts w:hAnsi="宋体" w:cs="宋体"/>
          <w:kern w:val="0"/>
        </w:rPr>
      </w:pPr>
      <w:r>
        <w:rPr>
          <w:rFonts w:hint="eastAsia" w:ascii="Times New Roman" w:hAnsi="Times New Roman" w:eastAsia="黑体"/>
        </w:rPr>
        <w:t>其他煤制油产品</w:t>
      </w:r>
      <w:r>
        <w:rPr>
          <w:rFonts w:eastAsia="黑体"/>
          <w:bCs/>
        </w:rPr>
        <w:t xml:space="preserve">  </w:t>
      </w:r>
      <w:r>
        <w:rPr>
          <w:rFonts w:hint="eastAsia" w:hAnsi="宋体" w:cs="宋体"/>
          <w:kern w:val="0"/>
        </w:rPr>
        <w:t>不属于</w:t>
      </w:r>
      <w:r>
        <w:rPr>
          <w:rFonts w:hAnsi="宋体" w:cs="宋体"/>
          <w:kern w:val="0"/>
        </w:rPr>
        <w:t>上述油品</w:t>
      </w:r>
      <w:r>
        <w:rPr>
          <w:rFonts w:hint="eastAsia" w:hAnsi="宋体" w:cs="宋体"/>
          <w:kern w:val="0"/>
        </w:rPr>
        <w:t>的其他煤制油</w:t>
      </w:r>
      <w:r>
        <w:rPr>
          <w:rFonts w:hAnsi="宋体" w:cs="宋体"/>
          <w:kern w:val="0"/>
        </w:rPr>
        <w:t>产品</w:t>
      </w:r>
      <w:r>
        <w:rPr>
          <w:rFonts w:hint="eastAsia" w:hAnsi="宋体" w:cs="宋体"/>
          <w:kern w:val="0"/>
        </w:rPr>
        <w:t>。</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天然气</w:t>
      </w:r>
      <w:r>
        <w:rPr>
          <w:rFonts w:eastAsia="黑体"/>
          <w:bCs/>
        </w:rPr>
        <w:t xml:space="preserve">  </w:t>
      </w:r>
      <w:r>
        <w:rPr>
          <w:rFonts w:ascii="Times New Roman" w:hAnsi="Times New Roman" w:cs="Times New Roman"/>
          <w:kern w:val="0"/>
        </w:rPr>
        <w:t>指以气态碳氢化合物为主的各种气体的混合物，由有机物质经生物化学作用分解而成，或与石油共存于岩石的裂缝和空洞中，或以溶解状态存在于地下水中；主要成分为甲烷（约占</w:t>
      </w:r>
      <w:r>
        <w:rPr>
          <w:rFonts w:hint="eastAsia" w:hAnsi="宋体" w:cs="宋体"/>
          <w:kern w:val="0"/>
        </w:rPr>
        <w:t>85%-95%</w:t>
      </w:r>
      <w:r>
        <w:rPr>
          <w:rFonts w:ascii="Times New Roman" w:hAnsi="Times New Roman" w:cs="Times New Roman"/>
          <w:kern w:val="0"/>
        </w:rPr>
        <w:t>），还有乙烷、丙烷、丁烷等，是一种优质燃料和化工原料。天然气分为常规天然气和非常规天然气。</w:t>
      </w:r>
    </w:p>
    <w:p>
      <w:pPr>
        <w:spacing w:line="360" w:lineRule="exact"/>
        <w:ind w:firstLine="420" w:firstLineChars="200"/>
        <w:rPr>
          <w:kern w:val="0"/>
          <w:szCs w:val="21"/>
        </w:rPr>
      </w:pPr>
      <w:r>
        <w:rPr>
          <w:rFonts w:hint="eastAsia" w:ascii="黑体" w:hAnsi="黑体" w:eastAsia="黑体"/>
          <w:kern w:val="0"/>
          <w:szCs w:val="21"/>
        </w:rPr>
        <w:t xml:space="preserve">常规天然气  </w:t>
      </w:r>
      <w:r>
        <w:rPr>
          <w:kern w:val="0"/>
          <w:szCs w:val="21"/>
        </w:rPr>
        <w:t>包括气田天然气、油田天然气（分为油田气层气、油田伴生溶解气）。</w:t>
      </w:r>
    </w:p>
    <w:p>
      <w:pPr>
        <w:spacing w:line="360" w:lineRule="exact"/>
        <w:ind w:firstLine="420" w:firstLineChars="200"/>
        <w:rPr>
          <w:kern w:val="0"/>
          <w:szCs w:val="21"/>
        </w:rPr>
      </w:pPr>
      <w:r>
        <w:rPr>
          <w:rFonts w:hint="eastAsia" w:ascii="黑体" w:hAnsi="黑体" w:eastAsia="黑体"/>
          <w:kern w:val="0"/>
          <w:szCs w:val="21"/>
        </w:rPr>
        <w:t>非常规天然气</w:t>
      </w:r>
      <w:r>
        <w:rPr>
          <w:rFonts w:hint="eastAsia"/>
          <w:kern w:val="0"/>
          <w:szCs w:val="21"/>
        </w:rPr>
        <w:t xml:space="preserve">  </w:t>
      </w:r>
      <w:r>
        <w:rPr>
          <w:kern w:val="0"/>
          <w:szCs w:val="21"/>
        </w:rPr>
        <w:t>包括煤层气、页岩气、致密砂岩气等。</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cs="Times New Roman"/>
          <w:kern w:val="0"/>
        </w:rPr>
        <w:t>天然气体积随温度和压力的变化而变化，统计时按标准状态下（压力为</w:t>
      </w:r>
      <w:r>
        <w:rPr>
          <w:rFonts w:hint="eastAsia" w:hAnsi="宋体" w:cs="宋体"/>
          <w:kern w:val="0"/>
        </w:rPr>
        <w:t>760</w:t>
      </w:r>
      <w:r>
        <w:rPr>
          <w:rFonts w:ascii="Times New Roman" w:hAnsi="Times New Roman" w:cs="Times New Roman"/>
          <w:kern w:val="0"/>
        </w:rPr>
        <w:t>毫米汞柱，温度</w:t>
      </w:r>
      <w:r>
        <w:rPr>
          <w:rFonts w:hint="eastAsia" w:hAnsi="宋体" w:cs="宋体"/>
          <w:kern w:val="0"/>
        </w:rPr>
        <w:t>20℃</w:t>
      </w:r>
      <w:r>
        <w:rPr>
          <w:rFonts w:ascii="Times New Roman" w:hAnsi="Times New Roman" w:cs="Times New Roman"/>
          <w:kern w:val="0"/>
        </w:rPr>
        <w:t>）的体积计算。</w:t>
      </w:r>
    </w:p>
    <w:p>
      <w:pPr>
        <w:pStyle w:val="10"/>
        <w:adjustRightInd w:val="0"/>
        <w:spacing w:line="360" w:lineRule="exact"/>
        <w:ind w:firstLine="411" w:firstLineChars="196"/>
        <w:rPr>
          <w:rFonts w:ascii="Times New Roman" w:hAnsi="Times New Roman" w:cs="Times New Roman"/>
        </w:rPr>
      </w:pPr>
      <w:r>
        <w:rPr>
          <w:rFonts w:ascii="Times New Roman" w:hAnsi="Times New Roman" w:cs="Times New Roman"/>
        </w:rPr>
        <w:t>天然气产量是指进入集输管网和就地利用的全部气量。</w:t>
      </w:r>
    </w:p>
    <w:p>
      <w:pPr>
        <w:pStyle w:val="10"/>
        <w:adjustRightInd w:val="0"/>
        <w:spacing w:line="360" w:lineRule="exact"/>
        <w:ind w:firstLine="411" w:firstLineChars="196"/>
        <w:rPr>
          <w:rFonts w:ascii="Times New Roman" w:hAnsi="Times New Roman" w:cs="Times New Roman"/>
        </w:rPr>
      </w:pPr>
      <w:r>
        <w:rPr>
          <w:rFonts w:ascii="Times New Roman" w:hAnsi="Times New Roman" w:cs="Times New Roman"/>
        </w:rPr>
        <w:t>天然气产量的计算原则：</w:t>
      </w:r>
    </w:p>
    <w:p>
      <w:pPr>
        <w:pStyle w:val="10"/>
        <w:adjustRightInd w:val="0"/>
        <w:spacing w:line="360" w:lineRule="exact"/>
        <w:ind w:firstLine="411" w:firstLineChars="196"/>
        <w:rPr>
          <w:rFonts w:ascii="Times New Roman" w:hAnsi="Times New Roman" w:cs="Times New Roman"/>
        </w:rPr>
      </w:pPr>
      <w:r>
        <w:rPr>
          <w:rFonts w:hint="eastAsia" w:hAnsi="宋体" w:cs="宋体"/>
        </w:rPr>
        <w:t>1.</w:t>
      </w:r>
      <w:r>
        <w:rPr>
          <w:rFonts w:ascii="Times New Roman" w:hAnsi="Times New Roman" w:cs="Times New Roman"/>
        </w:rPr>
        <w:t>气田天然气产量是指从井口产出经过油、气、水分离，进入集输管网和就地利用第一次计量的全部气量。</w:t>
      </w:r>
    </w:p>
    <w:p>
      <w:pPr>
        <w:pStyle w:val="10"/>
        <w:adjustRightInd w:val="0"/>
        <w:spacing w:line="360" w:lineRule="exact"/>
        <w:ind w:firstLine="411" w:firstLineChars="196"/>
        <w:rPr>
          <w:rFonts w:ascii="Times New Roman" w:hAnsi="Times New Roman" w:cs="Times New Roman"/>
        </w:rPr>
      </w:pPr>
      <w:r>
        <w:rPr>
          <w:rFonts w:hint="eastAsia" w:hAnsi="宋体" w:cs="宋体"/>
        </w:rPr>
        <w:t>2.</w:t>
      </w:r>
      <w:r>
        <w:rPr>
          <w:rFonts w:ascii="Times New Roman" w:hAnsi="Times New Roman" w:cs="Times New Roman"/>
        </w:rPr>
        <w:t>油田天然气产量是指从油井产出，在油、气、水三相分离分输点，第一次通过仪表连续计量进入管网和就地利用的全部气量。</w:t>
      </w:r>
    </w:p>
    <w:p>
      <w:pPr>
        <w:pStyle w:val="10"/>
        <w:adjustRightInd w:val="0"/>
        <w:spacing w:line="360" w:lineRule="exact"/>
        <w:ind w:firstLine="411" w:firstLineChars="196"/>
        <w:rPr>
          <w:rFonts w:ascii="Times New Roman" w:hAnsi="Times New Roman" w:cs="Times New Roman"/>
        </w:rPr>
      </w:pPr>
      <w:r>
        <w:rPr>
          <w:rFonts w:hint="eastAsia" w:hAnsi="宋体" w:cs="宋体"/>
        </w:rPr>
        <w:t>3.</w:t>
      </w:r>
      <w:r>
        <w:rPr>
          <w:rFonts w:ascii="Times New Roman" w:hAnsi="Times New Roman" w:cs="Times New Roman"/>
        </w:rPr>
        <w:t>对不具备条件未经油、气、水分离的就地自用气量和边远井产气就地利用气量，仍可按测定消耗定额的办法计算产气量。</w:t>
      </w:r>
    </w:p>
    <w:p>
      <w:pPr>
        <w:pStyle w:val="10"/>
        <w:adjustRightInd w:val="0"/>
        <w:spacing w:line="360" w:lineRule="exact"/>
        <w:ind w:firstLine="411" w:firstLineChars="196"/>
        <w:rPr>
          <w:rFonts w:ascii="Times New Roman" w:hAnsi="Times New Roman" w:cs="Times New Roman"/>
        </w:rPr>
      </w:pPr>
      <w:r>
        <w:rPr>
          <w:rFonts w:hint="eastAsia" w:hAnsi="宋体" w:cs="宋体"/>
        </w:rPr>
        <w:t>4.</w:t>
      </w:r>
      <w:r>
        <w:rPr>
          <w:rFonts w:ascii="Times New Roman" w:hAnsi="Times New Roman" w:cs="Times New Roman"/>
        </w:rPr>
        <w:t>经过油气水三相分离后的油井气中，可能含有一些凝聚物，应根据测定情况在气量中予以扣除。</w:t>
      </w:r>
    </w:p>
    <w:p>
      <w:pPr>
        <w:pStyle w:val="10"/>
        <w:adjustRightInd w:val="0"/>
        <w:spacing w:line="360" w:lineRule="exact"/>
        <w:ind w:firstLine="411" w:firstLineChars="196"/>
        <w:rPr>
          <w:rFonts w:ascii="Times New Roman" w:hAnsi="Times New Roman" w:cs="Times New Roman"/>
        </w:rPr>
      </w:pPr>
      <w:r>
        <w:rPr>
          <w:rFonts w:ascii="Times New Roman" w:hAnsi="Times New Roman" w:cs="Times New Roman"/>
        </w:rPr>
        <w:t>天然气产量计算公式：天然气产量=销售量</w:t>
      </w:r>
      <w:r>
        <w:rPr>
          <w:rFonts w:hint="eastAsia" w:hAnsi="宋体" w:cs="宋体"/>
        </w:rPr>
        <w:t>+</w:t>
      </w:r>
      <w:r>
        <w:rPr>
          <w:rFonts w:ascii="Times New Roman" w:hAnsi="Times New Roman" w:cs="Times New Roman"/>
        </w:rPr>
        <w:t>企业自用气量</w:t>
      </w:r>
      <w:r>
        <w:rPr>
          <w:rFonts w:hint="eastAsia" w:hAnsi="宋体" w:cs="宋体"/>
        </w:rPr>
        <w:t>+</w:t>
      </w:r>
      <w:r>
        <w:rPr>
          <w:rFonts w:ascii="Times New Roman" w:hAnsi="Times New Roman" w:cs="Times New Roman"/>
        </w:rPr>
        <w:t>损耗量及输差</w:t>
      </w:r>
      <w:r>
        <w:rPr>
          <w:rFonts w:hint="eastAsia" w:hAnsi="宋体" w:cs="宋体"/>
        </w:rPr>
        <w:t>+</w:t>
      </w:r>
      <w:r>
        <w:rPr>
          <w:rFonts w:ascii="Times New Roman" w:hAnsi="Times New Roman" w:cs="Times New Roman"/>
        </w:rPr>
        <w:t>期末库存</w:t>
      </w:r>
      <w:r>
        <w:rPr>
          <w:rFonts w:hint="eastAsia" w:hAnsi="宋体" w:cs="宋体"/>
        </w:rPr>
        <w:t>-</w:t>
      </w:r>
      <w:r>
        <w:rPr>
          <w:rFonts w:ascii="Times New Roman" w:hAnsi="Times New Roman" w:cs="Times New Roman"/>
        </w:rPr>
        <w:t>期初库存</w:t>
      </w:r>
    </w:p>
    <w:p>
      <w:pPr>
        <w:pStyle w:val="10"/>
        <w:adjustRightInd w:val="0"/>
        <w:spacing w:line="360" w:lineRule="exact"/>
        <w:ind w:firstLine="411" w:firstLineChars="196"/>
        <w:rPr>
          <w:rFonts w:ascii="Times New Roman" w:hAnsi="Times New Roman" w:cs="Times New Roman"/>
        </w:rPr>
      </w:pPr>
      <w:r>
        <w:rPr>
          <w:rFonts w:ascii="Times New Roman" w:hAnsi="Times New Roman" w:cs="Times New Roman"/>
        </w:rPr>
        <w:t>天然气销售量是指供给本企业以外用户，以及供本企业内部炼油厂、化工厂等部门用气量和其它综合利用的气量。</w:t>
      </w:r>
    </w:p>
    <w:p>
      <w:pPr>
        <w:pStyle w:val="10"/>
        <w:adjustRightInd w:val="0"/>
        <w:spacing w:line="360" w:lineRule="exact"/>
        <w:ind w:firstLine="419" w:firstLineChars="196"/>
        <w:rPr>
          <w:rFonts w:ascii="Times New Roman" w:hAnsi="Times New Roman" w:cs="Times New Roman"/>
          <w:spacing w:val="2"/>
        </w:rPr>
      </w:pPr>
      <w:r>
        <w:rPr>
          <w:rFonts w:ascii="Times New Roman" w:hAnsi="Times New Roman" w:cs="Times New Roman"/>
          <w:spacing w:val="2"/>
        </w:rPr>
        <w:t>天然气销售量按供气用途分为供大化肥用、供中小化肥用、其他工业用、商业用、城市民用、其他用。</w:t>
      </w:r>
    </w:p>
    <w:p>
      <w:pPr>
        <w:pStyle w:val="10"/>
        <w:adjustRightInd w:val="0"/>
        <w:spacing w:line="360" w:lineRule="exact"/>
        <w:ind w:firstLine="411" w:firstLineChars="196"/>
        <w:rPr>
          <w:rFonts w:ascii="Times New Roman" w:hAnsi="Times New Roman" w:cs="Times New Roman"/>
        </w:rPr>
      </w:pPr>
      <w:r>
        <w:rPr>
          <w:rFonts w:ascii="Times New Roman" w:hAnsi="Times New Roman" w:cs="Times New Roman"/>
        </w:rPr>
        <w:t>销售量中供本企业用气量，主要是指供给本企业内炼油、化工、碳黑、硫磺、化肥、制盐等用气量，这部分气量计入其他工业用气量中。</w:t>
      </w:r>
    </w:p>
    <w:p>
      <w:pPr>
        <w:pStyle w:val="10"/>
        <w:adjustRightInd w:val="0"/>
        <w:spacing w:line="360" w:lineRule="exact"/>
        <w:ind w:firstLine="411" w:firstLineChars="196"/>
        <w:rPr>
          <w:rFonts w:ascii="Times New Roman" w:hAnsi="Times New Roman" w:cs="Times New Roman"/>
        </w:rPr>
      </w:pPr>
      <w:r>
        <w:rPr>
          <w:rFonts w:ascii="Times New Roman" w:hAnsi="Times New Roman" w:cs="Times New Roman"/>
        </w:rPr>
        <w:t>企业自用气量是指企业内部自用的全部天然气量。它包括生产用气和其他自用气量。</w:t>
      </w:r>
    </w:p>
    <w:p>
      <w:pPr>
        <w:pStyle w:val="10"/>
        <w:adjustRightInd w:val="0"/>
        <w:spacing w:line="360" w:lineRule="exact"/>
        <w:ind w:firstLine="411" w:firstLineChars="196"/>
        <w:rPr>
          <w:rFonts w:ascii="Times New Roman" w:hAnsi="Times New Roman" w:cs="Times New Roman"/>
        </w:rPr>
      </w:pPr>
      <w:r>
        <w:rPr>
          <w:rFonts w:hint="eastAsia" w:hAnsi="宋体" w:cs="宋体"/>
        </w:rPr>
        <w:t>1.</w:t>
      </w:r>
      <w:r>
        <w:rPr>
          <w:rFonts w:ascii="Times New Roman" w:hAnsi="Times New Roman" w:cs="Times New Roman"/>
        </w:rPr>
        <w:t>生产自用气量，是指围绕油气生产所用的气量。</w:t>
      </w:r>
    </w:p>
    <w:p>
      <w:pPr>
        <w:pStyle w:val="10"/>
        <w:adjustRightInd w:val="0"/>
        <w:spacing w:line="360" w:lineRule="exact"/>
        <w:ind w:firstLine="411" w:firstLineChars="196"/>
        <w:rPr>
          <w:rFonts w:ascii="Times New Roman" w:hAnsi="Times New Roman" w:cs="Times New Roman"/>
        </w:rPr>
      </w:pPr>
      <w:r>
        <w:rPr>
          <w:rFonts w:hint="eastAsia" w:hAnsi="宋体" w:cs="宋体"/>
        </w:rPr>
        <w:t>2.</w:t>
      </w:r>
      <w:r>
        <w:rPr>
          <w:rFonts w:ascii="Times New Roman" w:hAnsi="Times New Roman" w:cs="Times New Roman"/>
        </w:rPr>
        <w:t>其他自用气量，是指油田所属的文教、卫生、生活福利等部门的用气量。</w:t>
      </w:r>
    </w:p>
    <w:p>
      <w:pPr>
        <w:pStyle w:val="10"/>
        <w:adjustRightInd w:val="0"/>
        <w:spacing w:line="360" w:lineRule="exact"/>
        <w:ind w:firstLine="411" w:firstLineChars="196"/>
        <w:rPr>
          <w:rFonts w:ascii="Times New Roman" w:hAnsi="Times New Roman" w:cs="Times New Roman"/>
        </w:rPr>
      </w:pPr>
      <w:r>
        <w:rPr>
          <w:rFonts w:ascii="Times New Roman" w:hAnsi="Times New Roman" w:cs="Times New Roman"/>
        </w:rPr>
        <w:t>天然气损耗量及输差是指天然气输送过程中的损耗及输差。</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煤层气</w:t>
      </w:r>
      <w:r>
        <w:rPr>
          <w:rFonts w:eastAsia="黑体"/>
          <w:bCs/>
        </w:rPr>
        <w:t xml:space="preserve">  </w:t>
      </w:r>
      <w:r>
        <w:rPr>
          <w:rFonts w:ascii="Times New Roman" w:hAnsi="Times New Roman" w:cs="Times New Roman"/>
          <w:kern w:val="0"/>
        </w:rPr>
        <w:t>指储存在煤层中以甲烷为主要成分、以吸附在煤</w:t>
      </w:r>
      <w:r>
        <w:fldChar w:fldCharType="begin"/>
      </w:r>
      <w:r>
        <w:instrText xml:space="preserve"> HYPERLINK "http://baike.baidu.com/view/3872350.htm" \t "_blank" </w:instrText>
      </w:r>
      <w:r>
        <w:fldChar w:fldCharType="separate"/>
      </w:r>
      <w:r>
        <w:rPr>
          <w:rFonts w:ascii="Times New Roman" w:hAnsi="Times New Roman" w:cs="Times New Roman"/>
          <w:kern w:val="0"/>
        </w:rPr>
        <w:t>基质颗粒</w:t>
      </w:r>
      <w:r>
        <w:rPr>
          <w:rFonts w:ascii="Times New Roman" w:hAnsi="Times New Roman" w:cs="Times New Roman"/>
          <w:kern w:val="0"/>
        </w:rPr>
        <w:fldChar w:fldCharType="end"/>
      </w:r>
      <w:r>
        <w:rPr>
          <w:rFonts w:ascii="Times New Roman" w:hAnsi="Times New Roman" w:cs="Times New Roman"/>
          <w:kern w:val="0"/>
        </w:rPr>
        <w:t>表面为主、部分游离于煤孔隙中或溶解于煤层水中的烃类气体，是煤的伴生矿产资源，属非常规</w:t>
      </w:r>
      <w:r>
        <w:fldChar w:fldCharType="begin"/>
      </w:r>
      <w:r>
        <w:instrText xml:space="preserve"> HYPERLINK "http://baike.baidu.com/view/1093.htm" \t "_blank" </w:instrText>
      </w:r>
      <w:r>
        <w:fldChar w:fldCharType="separate"/>
      </w:r>
      <w:r>
        <w:rPr>
          <w:rFonts w:ascii="Times New Roman" w:hAnsi="Times New Roman" w:cs="Times New Roman"/>
          <w:kern w:val="0"/>
        </w:rPr>
        <w:t>天然气</w:t>
      </w:r>
      <w:r>
        <w:rPr>
          <w:rFonts w:ascii="Times New Roman" w:hAnsi="Times New Roman" w:cs="Times New Roman"/>
          <w:kern w:val="0"/>
        </w:rPr>
        <w:fldChar w:fldCharType="end"/>
      </w:r>
      <w:r>
        <w:rPr>
          <w:rFonts w:ascii="Times New Roman" w:hAnsi="Times New Roman" w:cs="Times New Roman"/>
          <w:kern w:val="0"/>
        </w:rPr>
        <w:t>。</w:t>
      </w:r>
    </w:p>
    <w:p>
      <w:pPr>
        <w:spacing w:line="360" w:lineRule="exact"/>
        <w:ind w:firstLine="420" w:firstLineChars="200"/>
        <w:rPr>
          <w:szCs w:val="21"/>
          <w:shd w:val="clear" w:color="auto" w:fill="FFFFFF"/>
        </w:rPr>
      </w:pPr>
      <w:r>
        <w:rPr>
          <w:rFonts w:eastAsia="黑体"/>
          <w:kern w:val="0"/>
          <w:szCs w:val="18"/>
        </w:rPr>
        <w:t>页岩气</w:t>
      </w:r>
      <w:r>
        <w:rPr>
          <w:rFonts w:eastAsia="黑体"/>
          <w:bCs/>
          <w:szCs w:val="21"/>
        </w:rPr>
        <w:t xml:space="preserve"> </w:t>
      </w:r>
      <w:r>
        <w:rPr>
          <w:kern w:val="0"/>
          <w:szCs w:val="21"/>
        </w:rPr>
        <w:t xml:space="preserve"> </w:t>
      </w:r>
      <w:r>
        <w:rPr>
          <w:rFonts w:hint="eastAsia"/>
          <w:kern w:val="0"/>
          <w:szCs w:val="21"/>
        </w:rPr>
        <w:t xml:space="preserve">指赋存于富有机质泥页岩及其夹层中，以吸附或游离状态为主要存在方式的非常规天然气，成分以甲烷为主，是一种清洁、高效能源。 </w:t>
      </w:r>
    </w:p>
    <w:p>
      <w:pPr>
        <w:adjustRightInd w:val="0"/>
        <w:spacing w:line="360" w:lineRule="exact"/>
        <w:ind w:firstLine="411" w:firstLineChars="196"/>
        <w:rPr>
          <w:szCs w:val="21"/>
          <w:shd w:val="clear" w:color="auto" w:fill="FFFFFF"/>
        </w:rPr>
      </w:pPr>
      <w:r>
        <w:rPr>
          <w:rFonts w:eastAsia="黑体"/>
          <w:kern w:val="0"/>
          <w:szCs w:val="18"/>
        </w:rPr>
        <w:t>致密砂岩气</w:t>
      </w:r>
      <w:r>
        <w:rPr>
          <w:rFonts w:eastAsia="黑体"/>
          <w:bCs/>
          <w:szCs w:val="21"/>
        </w:rPr>
        <w:t xml:space="preserve">  </w:t>
      </w:r>
      <w:r>
        <w:rPr>
          <w:kern w:val="0"/>
          <w:szCs w:val="21"/>
        </w:rPr>
        <w:t>指</w:t>
      </w:r>
      <w:r>
        <w:rPr>
          <w:rFonts w:hint="eastAsia"/>
          <w:kern w:val="0"/>
          <w:szCs w:val="21"/>
        </w:rPr>
        <w:t>覆压基质渗透率</w:t>
      </w:r>
      <w:r>
        <w:rPr>
          <w:kern w:val="0"/>
          <w:szCs w:val="21"/>
        </w:rPr>
        <w:t>小于或等于</w:t>
      </w:r>
      <w:r>
        <w:rPr>
          <w:rFonts w:hint="eastAsia" w:ascii="宋体" w:hAnsi="宋体" w:cs="宋体"/>
          <w:kern w:val="0"/>
          <w:szCs w:val="21"/>
        </w:rPr>
        <w:t>0.1×10-3μm2</w:t>
      </w:r>
      <w:r>
        <w:rPr>
          <w:rFonts w:hint="eastAsia"/>
          <w:kern w:val="0"/>
          <w:szCs w:val="21"/>
        </w:rPr>
        <w:t>的砂岩</w:t>
      </w:r>
      <w:r>
        <w:rPr>
          <w:kern w:val="0"/>
          <w:szCs w:val="21"/>
        </w:rPr>
        <w:t>气层，单井一般无</w:t>
      </w:r>
      <w:r>
        <w:rPr>
          <w:rFonts w:hint="eastAsia"/>
          <w:kern w:val="0"/>
          <w:szCs w:val="21"/>
        </w:rPr>
        <w:t>自然</w:t>
      </w:r>
      <w:r>
        <w:rPr>
          <w:kern w:val="0"/>
          <w:szCs w:val="21"/>
        </w:rPr>
        <w:t>产能</w:t>
      </w:r>
      <w:r>
        <w:rPr>
          <w:rFonts w:hint="eastAsia"/>
          <w:kern w:val="0"/>
          <w:szCs w:val="21"/>
        </w:rPr>
        <w:t>或</w:t>
      </w:r>
      <w:r>
        <w:rPr>
          <w:kern w:val="0"/>
          <w:szCs w:val="21"/>
        </w:rPr>
        <w:t>自然产能低于工业气流下限，</w:t>
      </w:r>
      <w:r>
        <w:rPr>
          <w:rFonts w:hint="eastAsia"/>
          <w:kern w:val="0"/>
          <w:szCs w:val="21"/>
        </w:rPr>
        <w:t>但</w:t>
      </w:r>
      <w:r>
        <w:rPr>
          <w:kern w:val="0"/>
          <w:szCs w:val="21"/>
        </w:rPr>
        <w:t>在一</w:t>
      </w:r>
      <w:r>
        <w:rPr>
          <w:rFonts w:hint="eastAsia"/>
          <w:kern w:val="0"/>
          <w:szCs w:val="21"/>
        </w:rPr>
        <w:t>定</w:t>
      </w:r>
      <w:r>
        <w:rPr>
          <w:kern w:val="0"/>
          <w:szCs w:val="21"/>
        </w:rPr>
        <w:t>经济条件和技术措施下可获得工业天然气产量。</w:t>
      </w:r>
      <w:r>
        <w:rPr>
          <w:rFonts w:hint="eastAsia"/>
          <w:kern w:val="0"/>
          <w:szCs w:val="21"/>
        </w:rPr>
        <w:t>通常</w:t>
      </w:r>
      <w:r>
        <w:rPr>
          <w:kern w:val="0"/>
          <w:szCs w:val="21"/>
        </w:rPr>
        <w:t>情况下，</w:t>
      </w:r>
      <w:r>
        <w:rPr>
          <w:rFonts w:hint="eastAsia"/>
          <w:kern w:val="0"/>
          <w:szCs w:val="21"/>
        </w:rPr>
        <w:t>这些措施</w:t>
      </w:r>
      <w:r>
        <w:rPr>
          <w:kern w:val="0"/>
          <w:szCs w:val="21"/>
        </w:rPr>
        <w:t>包括压裂</w:t>
      </w:r>
      <w:r>
        <w:rPr>
          <w:rFonts w:hint="eastAsia"/>
          <w:kern w:val="0"/>
          <w:szCs w:val="21"/>
        </w:rPr>
        <w:t>、</w:t>
      </w:r>
      <w:r>
        <w:rPr>
          <w:kern w:val="0"/>
          <w:szCs w:val="21"/>
        </w:rPr>
        <w:t>水平井、多分</w:t>
      </w:r>
      <w:r>
        <w:rPr>
          <w:rFonts w:hint="eastAsia"/>
          <w:kern w:val="0"/>
          <w:szCs w:val="21"/>
        </w:rPr>
        <w:t>支</w:t>
      </w:r>
      <w:r>
        <w:rPr>
          <w:kern w:val="0"/>
          <w:szCs w:val="21"/>
        </w:rPr>
        <w:t>井等。</w:t>
      </w:r>
    </w:p>
    <w:p>
      <w:pPr>
        <w:pStyle w:val="10"/>
        <w:adjustRightInd w:val="0"/>
        <w:spacing w:line="360" w:lineRule="exact"/>
        <w:ind w:firstLine="411" w:firstLineChars="196"/>
        <w:rPr>
          <w:rFonts w:hAnsi="宋体" w:cs="宋体"/>
          <w:kern w:val="0"/>
        </w:rPr>
      </w:pPr>
      <w:r>
        <w:rPr>
          <w:rFonts w:ascii="Times New Roman" w:hAnsi="Times New Roman" w:eastAsia="黑体" w:cs="Times New Roman"/>
        </w:rPr>
        <w:t>液化天然气</w:t>
      </w:r>
      <w:r>
        <w:rPr>
          <w:rFonts w:eastAsia="黑体"/>
          <w:bCs/>
        </w:rPr>
        <w:t xml:space="preserve">  </w:t>
      </w:r>
      <w:r>
        <w:rPr>
          <w:rFonts w:hint="eastAsia" w:hAnsi="宋体" w:cs="宋体"/>
          <w:kern w:val="0"/>
        </w:rPr>
        <w:t>指液体状态的天然气，由气态天然气在一定温度和压力条件下液化而成，无毒、无色、无味，在-161℃下的密度约为425千克/立方米。天然气在常温、常压状态为气态，占有的体积大，不利于储存，液化后体积只有气态的1/600左右。天然气的主要成分——甲烷的临界温度为－82℃，故在常温下不可能通过压缩而将其液化。而当将甲烷冷却到-161℃以下时，在常压下即转化为液体，即液化天然气（LNG）。</w:t>
      </w:r>
    </w:p>
    <w:p>
      <w:pPr>
        <w:pStyle w:val="10"/>
        <w:adjustRightInd w:val="0"/>
        <w:spacing w:line="360" w:lineRule="exact"/>
        <w:ind w:firstLine="411" w:firstLineChars="196"/>
        <w:rPr>
          <w:rFonts w:ascii="Times New Roman" w:hAnsi="Times New Roman" w:cs="Times New Roman"/>
          <w:spacing w:val="4"/>
          <w:kern w:val="0"/>
        </w:rPr>
      </w:pPr>
      <w:r>
        <w:rPr>
          <w:rFonts w:ascii="Times New Roman" w:hAnsi="Times New Roman" w:eastAsia="黑体" w:cs="Times New Roman"/>
        </w:rPr>
        <w:t>原油</w:t>
      </w:r>
      <w:r>
        <w:rPr>
          <w:rFonts w:eastAsia="黑体"/>
          <w:bCs/>
        </w:rPr>
        <w:t xml:space="preserve">  </w:t>
      </w:r>
      <w:r>
        <w:rPr>
          <w:rFonts w:ascii="Times New Roman" w:hAnsi="Times New Roman" w:cs="Times New Roman"/>
          <w:spacing w:val="4"/>
          <w:kern w:val="0"/>
        </w:rPr>
        <w:t>指各种碳氢化合物的复杂混合物，通常呈暗褐色或者黑色液态，少数呈黄色、淡红色、淡褐色。</w:t>
      </w:r>
    </w:p>
    <w:p>
      <w:pPr>
        <w:pStyle w:val="10"/>
        <w:adjustRightInd w:val="0"/>
        <w:spacing w:line="360" w:lineRule="exact"/>
        <w:ind w:firstLine="357" w:firstLineChars="170"/>
        <w:rPr>
          <w:rFonts w:ascii="Times New Roman" w:hAnsi="Times New Roman" w:cs="Times New Roman"/>
          <w:kern w:val="0"/>
        </w:rPr>
      </w:pPr>
      <w:r>
        <w:rPr>
          <w:rFonts w:ascii="Times New Roman" w:hAnsi="Times New Roman" w:cs="Times New Roman"/>
          <w:kern w:val="0"/>
        </w:rPr>
        <w:t>（一）原油产量的计算原则：</w:t>
      </w:r>
    </w:p>
    <w:p>
      <w:pPr>
        <w:pStyle w:val="10"/>
        <w:adjustRightInd w:val="0"/>
        <w:spacing w:line="360" w:lineRule="exact"/>
        <w:ind w:firstLine="420" w:firstLineChars="200"/>
        <w:rPr>
          <w:rFonts w:hAnsi="宋体" w:cs="宋体"/>
        </w:rPr>
      </w:pPr>
      <w:r>
        <w:rPr>
          <w:rFonts w:hint="eastAsia" w:hAnsi="宋体" w:cs="宋体"/>
        </w:rPr>
        <w:t>1.原油产量按净原油量（即：扣除含水、泥沙后的原油量）计算。</w:t>
      </w:r>
    </w:p>
    <w:p>
      <w:pPr>
        <w:pStyle w:val="10"/>
        <w:adjustRightInd w:val="0"/>
        <w:spacing w:line="360" w:lineRule="exact"/>
        <w:ind w:firstLine="420" w:firstLineChars="200"/>
        <w:rPr>
          <w:rFonts w:hAnsi="宋体" w:cs="宋体"/>
        </w:rPr>
      </w:pPr>
      <w:r>
        <w:rPr>
          <w:rFonts w:hint="eastAsia" w:hAnsi="宋体" w:cs="宋体"/>
        </w:rPr>
        <w:t>2.为了合理开发利用国家地下石油资源，从采油井采出的原油必须进入集输系统，尽量减少进入土油池。</w:t>
      </w:r>
    </w:p>
    <w:p>
      <w:pPr>
        <w:pStyle w:val="10"/>
        <w:adjustRightInd w:val="0"/>
        <w:spacing w:line="360" w:lineRule="exact"/>
        <w:ind w:firstLine="420" w:firstLineChars="200"/>
        <w:rPr>
          <w:rFonts w:hAnsi="宋体" w:cs="宋体"/>
        </w:rPr>
      </w:pPr>
      <w:r>
        <w:rPr>
          <w:rFonts w:hint="eastAsia" w:hAnsi="宋体" w:cs="宋体"/>
        </w:rPr>
        <w:t>3.因事故、自然灾害及从探井、报废井、未交采油单位或未具备生产条件的井中产生的落地油，其产量应按已销售、已利用和已回收的油量计算原油产量。</w:t>
      </w:r>
    </w:p>
    <w:p>
      <w:pPr>
        <w:pStyle w:val="10"/>
        <w:adjustRightInd w:val="0"/>
        <w:spacing w:line="360" w:lineRule="exact"/>
        <w:ind w:firstLine="420" w:firstLineChars="200"/>
        <w:rPr>
          <w:rFonts w:hAnsi="宋体" w:cs="宋体"/>
        </w:rPr>
      </w:pPr>
      <w:r>
        <w:rPr>
          <w:rFonts w:hint="eastAsia" w:hAnsi="宋体" w:cs="宋体"/>
        </w:rPr>
        <w:t>4.原油产量中包括从油（气）井井口直接回收或经处理装置回收的凝析油。</w:t>
      </w:r>
    </w:p>
    <w:p>
      <w:pPr>
        <w:pStyle w:val="10"/>
        <w:adjustRightInd w:val="0"/>
        <w:spacing w:line="360" w:lineRule="exact"/>
        <w:ind w:firstLine="420" w:firstLineChars="200"/>
        <w:rPr>
          <w:rFonts w:hAnsi="宋体" w:cs="宋体"/>
        </w:rPr>
      </w:pPr>
      <w:r>
        <w:rPr>
          <w:rFonts w:hint="eastAsia" w:hAnsi="宋体" w:cs="宋体"/>
        </w:rPr>
        <w:t>5.油田内部新管线投产后的管线存油，不能作为库存报产量，待管线报废时清除的原油才能计入报告期原油产量中。凡是以前已报过的管线存油，在管线报废后，清除的原油不能再计入本期原油产量。在进行原油平衡时，清除的原油作为增加期初库存处理，并在报表上注明此油量。</w:t>
      </w:r>
    </w:p>
    <w:p>
      <w:pPr>
        <w:pStyle w:val="10"/>
        <w:adjustRightInd w:val="0"/>
        <w:spacing w:line="360" w:lineRule="exact"/>
        <w:ind w:firstLine="420" w:firstLineChars="200"/>
        <w:rPr>
          <w:rFonts w:hAnsi="宋体" w:cs="宋体"/>
        </w:rPr>
      </w:pPr>
      <w:r>
        <w:rPr>
          <w:rFonts w:hint="eastAsia" w:hAnsi="宋体" w:cs="宋体"/>
        </w:rPr>
        <w:t>6.计算原油产量，必须建立定期盘库制度，通过检尺或流量计准确地计量。</w:t>
      </w:r>
    </w:p>
    <w:p>
      <w:pPr>
        <w:pStyle w:val="10"/>
        <w:adjustRightInd w:val="0"/>
        <w:spacing w:line="360" w:lineRule="exact"/>
        <w:ind w:firstLine="420" w:firstLineChars="200"/>
        <w:rPr>
          <w:rFonts w:ascii="Times New Roman" w:hAnsi="Times New Roman" w:cs="Times New Roman"/>
        </w:rPr>
      </w:pPr>
      <w:r>
        <w:rPr>
          <w:rFonts w:hint="eastAsia" w:hAnsi="宋体" w:cs="宋体"/>
        </w:rPr>
        <w:t>7.计算原油产量的库存量，必须经化验，符合质量标准。不符合质量标准的原油库存量不能作为计产的盘库范围。</w:t>
      </w:r>
    </w:p>
    <w:p>
      <w:pPr>
        <w:pStyle w:val="10"/>
        <w:adjustRightInd w:val="0"/>
        <w:spacing w:line="360" w:lineRule="exact"/>
        <w:ind w:firstLine="357" w:firstLineChars="170"/>
        <w:rPr>
          <w:rFonts w:ascii="Times New Roman" w:hAnsi="Times New Roman" w:cs="Times New Roman"/>
        </w:rPr>
      </w:pPr>
      <w:r>
        <w:rPr>
          <w:rFonts w:ascii="Times New Roman" w:hAnsi="Times New Roman" w:cs="Times New Roman"/>
        </w:rPr>
        <w:t>（二）原油产量的计算方法：</w:t>
      </w:r>
    </w:p>
    <w:p>
      <w:pPr>
        <w:pStyle w:val="10"/>
        <w:adjustRightInd w:val="0"/>
        <w:spacing w:line="360" w:lineRule="exact"/>
        <w:ind w:firstLine="420" w:firstLineChars="200"/>
        <w:rPr>
          <w:rFonts w:ascii="Times New Roman" w:hAnsi="Times New Roman" w:cs="Times New Roman"/>
        </w:rPr>
      </w:pPr>
      <w:r>
        <w:rPr>
          <w:rFonts w:ascii="Times New Roman" w:hAnsi="Times New Roman" w:cs="Times New Roman"/>
        </w:rPr>
        <w:t>原油产量计算方法有两种：正算法和倒算法。</w:t>
      </w:r>
    </w:p>
    <w:p>
      <w:pPr>
        <w:pStyle w:val="10"/>
        <w:adjustRightInd w:val="0"/>
        <w:spacing w:line="360" w:lineRule="exact"/>
        <w:ind w:firstLine="420" w:firstLineChars="200"/>
        <w:rPr>
          <w:rFonts w:hAnsi="宋体" w:cs="宋体"/>
        </w:rPr>
      </w:pPr>
      <w:r>
        <w:rPr>
          <w:rFonts w:hint="eastAsia" w:hAnsi="宋体" w:cs="宋体"/>
        </w:rPr>
        <w:t>1.“正算法”是从生产角度出发，按生产工艺过程进行计算原油产量的方法。</w:t>
      </w:r>
    </w:p>
    <w:p>
      <w:pPr>
        <w:pStyle w:val="10"/>
        <w:adjustRightInd w:val="0"/>
        <w:spacing w:line="360" w:lineRule="exact"/>
        <w:ind w:firstLine="420" w:firstLineChars="200"/>
        <w:rPr>
          <w:rFonts w:hAnsi="宋体" w:cs="宋体"/>
        </w:rPr>
      </w:pPr>
      <w:r>
        <w:rPr>
          <w:rFonts w:hint="eastAsia" w:hAnsi="宋体" w:cs="宋体"/>
        </w:rPr>
        <w:t>2.“倒算法”就是从销售的角度根据销售量，自用量，及期末、期初库存差倒算出原油产量的计算方法。其计算公式如下：</w:t>
      </w:r>
    </w:p>
    <w:p>
      <w:pPr>
        <w:pStyle w:val="10"/>
        <w:adjustRightInd w:val="0"/>
        <w:spacing w:line="360" w:lineRule="exact"/>
        <w:ind w:firstLine="420" w:firstLineChars="200"/>
        <w:rPr>
          <w:rFonts w:ascii="Times New Roman" w:hAnsi="Times New Roman" w:cs="Times New Roman"/>
        </w:rPr>
      </w:pPr>
      <w:r>
        <w:rPr>
          <w:rFonts w:hint="eastAsia" w:hAnsi="宋体" w:cs="宋体"/>
        </w:rPr>
        <w:t>原油产量=（期末库存量+销售量+企业自用量-期初库存量）/（1-损耗率</w:t>
      </w:r>
      <w:r>
        <w:rPr>
          <w:rFonts w:hint="eastAsia" w:hAnsi="宋体" w:cs="宋体"/>
          <w:kern w:val="0"/>
        </w:rPr>
        <w:t>）</w:t>
      </w:r>
      <w:r>
        <w:rPr>
          <w:rFonts w:hint="eastAsia" w:hAnsi="宋体" w:cs="宋体"/>
        </w:rPr>
        <w:t>+国际合作份额油原油商</w:t>
      </w:r>
      <w:r>
        <w:rPr>
          <w:rFonts w:ascii="Times New Roman" w:hAnsi="Times New Roman" w:cs="Times New Roman"/>
        </w:rPr>
        <w:t>品量，是指本期生产可供销售的产量。它反映企业为社会提供原油商品的总量，其计算公式如下：</w:t>
      </w:r>
    </w:p>
    <w:p>
      <w:pPr>
        <w:pStyle w:val="10"/>
        <w:adjustRightInd w:val="0"/>
        <w:spacing w:line="360" w:lineRule="exact"/>
        <w:ind w:firstLine="420" w:firstLineChars="200"/>
        <w:rPr>
          <w:rFonts w:ascii="Times New Roman" w:hAnsi="Times New Roman" w:cs="Times New Roman"/>
        </w:rPr>
      </w:pPr>
      <w:r>
        <w:rPr>
          <w:rFonts w:ascii="Times New Roman" w:hAnsi="Times New Roman" w:cs="Times New Roman"/>
        </w:rPr>
        <w:t>原油商品量=原油产量</w:t>
      </w:r>
      <w:r>
        <w:rPr>
          <w:rFonts w:hint="eastAsia" w:hAnsi="宋体" w:cs="宋体"/>
        </w:rPr>
        <w:t>-</w:t>
      </w:r>
      <w:r>
        <w:rPr>
          <w:rFonts w:ascii="Times New Roman" w:hAnsi="Times New Roman" w:cs="Times New Roman"/>
        </w:rPr>
        <w:t>生产自用量</w:t>
      </w:r>
      <w:r>
        <w:rPr>
          <w:rFonts w:hint="eastAsia" w:hAnsi="宋体" w:cs="宋体"/>
        </w:rPr>
        <w:t>-</w:t>
      </w:r>
      <w:r>
        <w:rPr>
          <w:rFonts w:ascii="Times New Roman" w:hAnsi="Times New Roman" w:cs="Times New Roman"/>
        </w:rPr>
        <w:t>原油损耗量</w:t>
      </w:r>
    </w:p>
    <w:p>
      <w:pPr>
        <w:pStyle w:val="10"/>
        <w:adjustRightInd w:val="0"/>
        <w:spacing w:line="360" w:lineRule="exact"/>
        <w:ind w:firstLine="420" w:firstLineChars="200"/>
        <w:rPr>
          <w:rFonts w:ascii="Times New Roman" w:hAnsi="Times New Roman" w:cs="Times New Roman"/>
        </w:rPr>
      </w:pPr>
      <w:r>
        <w:rPr>
          <w:rFonts w:ascii="Times New Roman" w:hAnsi="Times New Roman" w:cs="Times New Roman"/>
        </w:rPr>
        <w:t>企业原油自用量是指企业内部自用的全部原油量。包括生产自用量、矿区其它用量。</w:t>
      </w:r>
    </w:p>
    <w:p>
      <w:pPr>
        <w:pStyle w:val="10"/>
        <w:adjustRightInd w:val="0"/>
        <w:spacing w:line="360" w:lineRule="exact"/>
        <w:ind w:firstLine="420" w:firstLineChars="200"/>
        <w:rPr>
          <w:rFonts w:hAnsi="宋体" w:cs="宋体"/>
        </w:rPr>
      </w:pPr>
      <w:r>
        <w:rPr>
          <w:rFonts w:hint="eastAsia" w:hAnsi="宋体" w:cs="宋体"/>
        </w:rPr>
        <w:t>1.生产自用量是指围绕油气生产所用的油量（指在原油生产企业生产、集输、处理、储运过程中耗用的原油量</w:t>
      </w:r>
      <w:r>
        <w:rPr>
          <w:rFonts w:hint="eastAsia" w:hAnsi="宋体" w:cs="宋体"/>
          <w:kern w:val="0"/>
        </w:rPr>
        <w:t>）</w:t>
      </w:r>
      <w:r>
        <w:rPr>
          <w:rFonts w:hint="eastAsia" w:hAnsi="宋体" w:cs="宋体"/>
        </w:rPr>
        <w:t>。</w:t>
      </w:r>
    </w:p>
    <w:p>
      <w:pPr>
        <w:pStyle w:val="10"/>
        <w:adjustRightInd w:val="0"/>
        <w:spacing w:line="360" w:lineRule="exact"/>
        <w:ind w:firstLine="420" w:firstLineChars="200"/>
        <w:rPr>
          <w:rFonts w:ascii="Times New Roman" w:hAnsi="Times New Roman" w:cs="Times New Roman"/>
        </w:rPr>
      </w:pPr>
      <w:r>
        <w:rPr>
          <w:rFonts w:hint="eastAsia" w:hAnsi="宋体" w:cs="宋体"/>
        </w:rPr>
        <w:t>2.矿区其它</w:t>
      </w:r>
      <w:r>
        <w:rPr>
          <w:rFonts w:ascii="Times New Roman" w:hAnsi="Times New Roman" w:cs="Times New Roman"/>
        </w:rPr>
        <w:t>用油量是指油气田所属的文教、卫生、生活福利等部门的用油量。</w:t>
      </w:r>
    </w:p>
    <w:p>
      <w:pPr>
        <w:pStyle w:val="10"/>
        <w:adjustRightInd w:val="0"/>
        <w:spacing w:line="360" w:lineRule="exact"/>
        <w:ind w:firstLine="420" w:firstLineChars="200"/>
        <w:rPr>
          <w:rFonts w:ascii="Times New Roman" w:hAnsi="Times New Roman" w:cs="Times New Roman"/>
        </w:rPr>
      </w:pPr>
      <w:r>
        <w:rPr>
          <w:rFonts w:ascii="Times New Roman" w:hAnsi="Times New Roman" w:cs="Times New Roman"/>
        </w:rPr>
        <w:t>原油损耗量是指原油在集输、储存、装卸、脱水、脱盐、脱气等过程中发生的自然损耗以及清罐、事故损失。损耗定额必须定期测定，报有关部门批准执行。实际损耗低于定额的按实际损耗计算，超过定额的按定额损耗计算。如因各阶段损耗难以确定或各时期变化不大时，可按测定的总损耗率计算。</w:t>
      </w:r>
    </w:p>
    <w:p>
      <w:pPr>
        <w:pStyle w:val="10"/>
        <w:adjustRightInd w:val="0"/>
        <w:spacing w:line="360" w:lineRule="exact"/>
        <w:ind w:firstLine="420" w:firstLineChars="200"/>
        <w:rPr>
          <w:rFonts w:ascii="Times New Roman" w:hAnsi="Times New Roman" w:cs="Times New Roman"/>
        </w:rPr>
      </w:pPr>
      <w:r>
        <w:rPr>
          <w:rFonts w:ascii="Times New Roman" w:hAnsi="Times New Roman" w:cs="Times New Roman"/>
        </w:rPr>
        <w:t>清罐损耗量是指在油罐底部，因积有大量的泥、沙、杂质等，在清洗过程中发生的损耗，此项损耗可以按实际报损。</w:t>
      </w:r>
    </w:p>
    <w:p>
      <w:pPr>
        <w:pStyle w:val="10"/>
        <w:adjustRightInd w:val="0"/>
        <w:spacing w:line="360" w:lineRule="exact"/>
        <w:ind w:firstLine="420" w:firstLineChars="200"/>
        <w:rPr>
          <w:rFonts w:ascii="Times New Roman" w:hAnsi="Times New Roman" w:cs="Times New Roman"/>
        </w:rPr>
      </w:pPr>
      <w:r>
        <w:rPr>
          <w:rFonts w:ascii="Times New Roman" w:hAnsi="Times New Roman" w:cs="Times New Roman"/>
        </w:rPr>
        <w:t>事故损耗量是指原油在储输过程中因事故发生的损失。如跑油、溢油、漏油、火灾等事故损失量，计算事故损失量时必须认真核实，将回收部分冲减损耗。</w:t>
      </w:r>
    </w:p>
    <w:p>
      <w:pPr>
        <w:pStyle w:val="10"/>
        <w:adjustRightInd w:val="0"/>
        <w:spacing w:line="360" w:lineRule="exact"/>
        <w:ind w:firstLine="420" w:firstLineChars="200"/>
        <w:rPr>
          <w:rFonts w:ascii="Times New Roman" w:hAnsi="Times New Roman" w:cs="Times New Roman"/>
        </w:rPr>
      </w:pPr>
      <w:r>
        <w:rPr>
          <w:rFonts w:ascii="Times New Roman" w:hAnsi="Times New Roman" w:cs="Times New Roman"/>
        </w:rPr>
        <w:t>原油库存量是指全油田集输系统经净化处理符合规定质量标准的（或合同规定的技术条件）所有油罐的库存量之和。要建立定期的原油库存盘点制度，盘库要在规定的统一结算时点同时进行。</w:t>
      </w:r>
    </w:p>
    <w:p>
      <w:pPr>
        <w:adjustRightInd w:val="0"/>
        <w:spacing w:line="360" w:lineRule="exact"/>
        <w:ind w:firstLine="420" w:firstLineChars="200"/>
        <w:rPr>
          <w:rFonts w:eastAsia="黑体"/>
          <w:szCs w:val="21"/>
        </w:rPr>
      </w:pPr>
      <w:r>
        <w:rPr>
          <w:rFonts w:eastAsia="黑体"/>
          <w:szCs w:val="21"/>
        </w:rPr>
        <w:t>页岩油</w:t>
      </w:r>
      <w:r>
        <w:rPr>
          <w:rFonts w:eastAsia="黑体"/>
          <w:bCs/>
          <w:szCs w:val="21"/>
        </w:rPr>
        <w:t xml:space="preserve">  </w:t>
      </w:r>
      <w:r>
        <w:rPr>
          <w:szCs w:val="21"/>
        </w:rPr>
        <w:t>指以页岩为主的页岩层系中所含的石油资源。其中包括泥页岩孔隙和裂缝中的石油，以及泥页岩层系中的致密碳酸岩或碎屑岩邻层和夹层中的石油资源。通常有效的开发方式为水平井和分段压裂技术。</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原油加工量</w:t>
      </w:r>
      <w:r>
        <w:rPr>
          <w:rFonts w:eastAsia="黑体"/>
          <w:bCs/>
        </w:rPr>
        <w:t xml:space="preserve">  </w:t>
      </w:r>
      <w:r>
        <w:rPr>
          <w:rFonts w:ascii="Times New Roman" w:hAnsi="Times New Roman" w:cs="Times New Roman"/>
          <w:kern w:val="0"/>
        </w:rPr>
        <w:t>指直接进入蒸馏装置及二次加工装置加工的原油量。该指标是衡量炼化企业生产规模、能力的一项基础指标，也是炼化企业计算各项技术经济指标的重要依据。因此，原油加工量作为一个特殊的指标在产品产量中统计。</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cs="Times New Roman"/>
          <w:kern w:val="0"/>
        </w:rPr>
        <w:t>计算原油加工量必须具有一定的计量手段，一般用流量计计量，在计量表误差较大的情况下，也可以用罐检尺方法计量，但不允许用产出量倒算。</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汽油</w:t>
      </w:r>
      <w:r>
        <w:rPr>
          <w:rFonts w:eastAsia="黑体"/>
          <w:bCs/>
        </w:rPr>
        <w:t xml:space="preserve">  </w:t>
      </w:r>
      <w:r>
        <w:rPr>
          <w:rFonts w:ascii="Times New Roman" w:hAnsi="Times New Roman" w:cs="Times New Roman"/>
          <w:kern w:val="0"/>
        </w:rPr>
        <w:t>指直馏汽油和二次加工（如催化裂化、加氢裂化，催化重整和经精制的热裂化、焦化等）汽油，按不同比例调和，加入适量抗氧防胶剂及金属钝化剂，必要时加入适量的抗爆剂（如加入抗爆剂还要加入着色剂）而制成。本品为易燃、易挥发液体，具有良好的抗爆性能和燃烧性能，其蒸发性好，燃烧完全，积炭少，对发动机部件及储油容器无腐蚀性，由于加有抗氧剂，产品具有较好的安定性，不易过早氧化。</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cs="Times New Roman"/>
          <w:kern w:val="0"/>
        </w:rPr>
        <w:t>包括航空汽油和车用汽油。</w:t>
      </w:r>
    </w:p>
    <w:p>
      <w:pPr>
        <w:pStyle w:val="10"/>
        <w:adjustRightInd w:val="0"/>
        <w:spacing w:line="360" w:lineRule="exact"/>
        <w:ind w:firstLine="413" w:firstLineChars="196"/>
        <w:rPr>
          <w:rFonts w:ascii="Times New Roman" w:hAnsi="Times New Roman" w:cs="Times New Roman"/>
          <w:kern w:val="0"/>
        </w:rPr>
      </w:pPr>
      <w:r>
        <w:rPr>
          <w:rFonts w:hint="eastAsia" w:hAnsi="宋体" w:cs="宋体"/>
          <w:b/>
          <w:bCs/>
          <w:kern w:val="0"/>
        </w:rPr>
        <w:t>1.</w:t>
      </w:r>
      <w:r>
        <w:rPr>
          <w:rFonts w:ascii="Times New Roman" w:hAnsi="Times New Roman" w:cs="Times New Roman"/>
          <w:b/>
          <w:kern w:val="0"/>
        </w:rPr>
        <w:t>航空汽油</w:t>
      </w:r>
      <w:r>
        <w:rPr>
          <w:rFonts w:ascii="Times New Roman" w:hAnsi="Times New Roman" w:cs="Times New Roman"/>
          <w:kern w:val="0"/>
        </w:rPr>
        <w:t xml:space="preserve">  指按国家规定的鉴定程序所通过的原料及生产工艺条件，由催化裂化、烷基化、催化重整等装置所生产的汽油组分与其他高辛烷值组分（如工业异丙苯、抗爆剂、抗氧剂等）调合而成，主要用于活塞式航空发动机燃料，其质量要求要比车用汽油高，一般加入染色剂以区分。航空汽油有辛烷值和品度值两个质量控制指标。随着喷气内燃机的发展，航空汽油的用量已减少很多，目前主要用于直升飞机和一些小型螺旋桨飞机以及喷气式飞机的启动等。</w:t>
      </w:r>
    </w:p>
    <w:p>
      <w:pPr>
        <w:pStyle w:val="10"/>
        <w:adjustRightInd w:val="0"/>
        <w:spacing w:line="360" w:lineRule="exact"/>
        <w:ind w:firstLine="413" w:firstLineChars="196"/>
        <w:rPr>
          <w:rFonts w:ascii="Times New Roman" w:hAnsi="Times New Roman" w:cs="Times New Roman"/>
          <w:b/>
        </w:rPr>
      </w:pPr>
      <w:r>
        <w:rPr>
          <w:rFonts w:hint="eastAsia" w:hAnsi="宋体" w:cs="宋体"/>
          <w:b/>
          <w:bCs/>
          <w:kern w:val="0"/>
        </w:rPr>
        <w:t>2.</w:t>
      </w:r>
      <w:r>
        <w:rPr>
          <w:rFonts w:ascii="Times New Roman" w:hAnsi="Times New Roman" w:cs="Times New Roman"/>
          <w:b/>
          <w:kern w:val="0"/>
        </w:rPr>
        <w:t>车用汽油</w:t>
      </w:r>
      <w:r>
        <w:rPr>
          <w:rFonts w:ascii="Times New Roman" w:hAnsi="Times New Roman" w:cs="Times New Roman"/>
          <w:kern w:val="0"/>
        </w:rPr>
        <w:t xml:space="preserve">  指由常减压装置蒸馏产出的直馏汽油组分、二次加工装置产出的汽油组分（如催化汽油、加氢裂化汽油、催化重整汽油、加氢精制后的焦化汽油等）及高辛烷值汽油组分，按一定比例调合后加入适量抗氧防胶剂、金属钝化剂，必要时加入适量的抗爆剂和甲基叔丁基醚</w:t>
      </w:r>
      <w:r>
        <w:rPr>
          <w:rFonts w:hint="eastAsia" w:hAnsi="宋体" w:cs="宋体"/>
          <w:kern w:val="0"/>
        </w:rPr>
        <w:t>（MTBE）</w:t>
      </w:r>
      <w:r>
        <w:rPr>
          <w:rFonts w:ascii="Times New Roman" w:hAnsi="Times New Roman" w:cs="Times New Roman"/>
          <w:kern w:val="0"/>
        </w:rPr>
        <w:t>等制成。代表汽油质量等级的一个重要指标是抗爆性，辛烷值是表示汽油抗爆性的重要指标。</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煤油</w:t>
      </w:r>
      <w:r>
        <w:rPr>
          <w:rFonts w:eastAsia="黑体"/>
          <w:bCs/>
        </w:rPr>
        <w:t xml:space="preserve">  </w:t>
      </w:r>
      <w:r>
        <w:rPr>
          <w:rFonts w:ascii="Times New Roman" w:hAnsi="Times New Roman" w:cs="Times New Roman"/>
          <w:kern w:val="0"/>
        </w:rPr>
        <w:t>包括灯用煤油、航空煤油。</w:t>
      </w:r>
    </w:p>
    <w:p>
      <w:pPr>
        <w:pStyle w:val="10"/>
        <w:adjustRightInd w:val="0"/>
        <w:spacing w:line="360" w:lineRule="exact"/>
        <w:ind w:firstLine="413" w:firstLineChars="196"/>
        <w:rPr>
          <w:rFonts w:ascii="Times New Roman" w:hAnsi="Times New Roman" w:cs="Times New Roman"/>
          <w:kern w:val="0"/>
        </w:rPr>
      </w:pPr>
      <w:r>
        <w:rPr>
          <w:rFonts w:hint="eastAsia" w:hAnsi="宋体" w:cs="宋体"/>
          <w:b/>
          <w:bCs/>
          <w:kern w:val="0"/>
        </w:rPr>
        <w:t>1.</w:t>
      </w:r>
      <w:r>
        <w:rPr>
          <w:rFonts w:ascii="Times New Roman" w:hAnsi="Times New Roman" w:cs="Times New Roman"/>
          <w:b/>
          <w:kern w:val="0"/>
        </w:rPr>
        <w:t>灯用煤油</w:t>
      </w:r>
      <w:r>
        <w:rPr>
          <w:rFonts w:ascii="Times New Roman" w:hAnsi="Times New Roman" w:cs="Times New Roman"/>
          <w:kern w:val="0"/>
        </w:rPr>
        <w:t xml:space="preserve">  指由常减压装置蒸馏的直馏煤油或二次加工经加氢精制的不含裂化组分的适宜馏分，主要用于点灯照明和各种燃料器用油。</w:t>
      </w:r>
    </w:p>
    <w:p>
      <w:pPr>
        <w:pStyle w:val="10"/>
        <w:adjustRightInd w:val="0"/>
        <w:spacing w:line="360" w:lineRule="exact"/>
        <w:ind w:firstLine="413" w:firstLineChars="196"/>
        <w:rPr>
          <w:rFonts w:ascii="Times New Roman" w:hAnsi="Times New Roman" w:cs="Times New Roman"/>
          <w:b/>
          <w:bCs/>
        </w:rPr>
      </w:pPr>
      <w:r>
        <w:rPr>
          <w:rFonts w:hint="eastAsia" w:hAnsi="宋体" w:cs="宋体"/>
          <w:b/>
          <w:bCs/>
          <w:kern w:val="0"/>
        </w:rPr>
        <w:t>2.</w:t>
      </w:r>
      <w:r>
        <w:rPr>
          <w:rFonts w:ascii="Times New Roman" w:hAnsi="Times New Roman" w:cs="Times New Roman"/>
          <w:b/>
          <w:kern w:val="0"/>
        </w:rPr>
        <w:t>航空煤油</w:t>
      </w:r>
      <w:r>
        <w:rPr>
          <w:rFonts w:ascii="Times New Roman" w:hAnsi="Times New Roman" w:cs="Times New Roman"/>
          <w:kern w:val="0"/>
        </w:rPr>
        <w:t xml:space="preserve">  按国家规定的鉴定程序所通过的原料及生产工艺条件，由蒸馏装置的直馏煤油或经加氢裂化、加氢精制生产的组分，单独或复合加入必要的、有利于改进与提高航空煤油质量的添加剂制成。主要用于航空涡轮发动机作燃料，根据所适用的工作环境温度及发动机型号分为不同牌号。</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柴油</w:t>
      </w:r>
      <w:r>
        <w:rPr>
          <w:rFonts w:eastAsia="黑体"/>
          <w:bCs/>
        </w:rPr>
        <w:t xml:space="preserve">  </w:t>
      </w:r>
      <w:r>
        <w:rPr>
          <w:rFonts w:ascii="Times New Roman" w:hAnsi="Times New Roman" w:cs="Times New Roman"/>
          <w:kern w:val="0"/>
        </w:rPr>
        <w:t>指直馏柴油和经过精制的二次加工（如催化裂化、加氢裂化、热裂化、加氢精制的焦化的柴油等），以不同比例调和而成的成品油。柴油分为轻柴油、重柴油。</w:t>
      </w:r>
    </w:p>
    <w:p>
      <w:pPr>
        <w:pStyle w:val="10"/>
        <w:adjustRightInd w:val="0"/>
        <w:spacing w:line="360" w:lineRule="exact"/>
        <w:ind w:firstLine="413" w:firstLineChars="196"/>
        <w:rPr>
          <w:rFonts w:hAnsi="宋体" w:cs="宋体"/>
          <w:kern w:val="0"/>
        </w:rPr>
      </w:pPr>
      <w:r>
        <w:rPr>
          <w:rFonts w:hint="eastAsia" w:hAnsi="宋体" w:cs="宋体"/>
          <w:b/>
          <w:bCs/>
          <w:kern w:val="0"/>
        </w:rPr>
        <w:t>1.</w:t>
      </w:r>
      <w:r>
        <w:rPr>
          <w:rFonts w:ascii="Times New Roman" w:hAnsi="Times New Roman" w:cs="Times New Roman"/>
          <w:b/>
          <w:kern w:val="0"/>
        </w:rPr>
        <w:t>轻柴油</w:t>
      </w:r>
      <w:r>
        <w:rPr>
          <w:rFonts w:ascii="Times New Roman" w:hAnsi="Times New Roman" w:cs="Times New Roman"/>
          <w:kern w:val="0"/>
        </w:rPr>
        <w:t xml:space="preserve">  指由常减压装置蒸馏产出的直馏柴油或经过精制的二次加工柴油组分（如催化裂化柴油、加氢裂化柴油、加氢精制后的焦化柴油等）按一定比例调合而成，供转速为每分钟1000转以上的柴油机使用的柴油。按凝固点划分为以下牌号：1</w:t>
      </w:r>
      <w:r>
        <w:rPr>
          <w:rFonts w:hint="eastAsia" w:hAnsi="宋体" w:cs="宋体"/>
          <w:kern w:val="0"/>
        </w:rPr>
        <w:t>0号、5号、0号、－10号、－20号、－30号、－35号、－50号等。</w:t>
      </w:r>
    </w:p>
    <w:p>
      <w:pPr>
        <w:pStyle w:val="10"/>
        <w:adjustRightInd w:val="0"/>
        <w:spacing w:line="360" w:lineRule="exact"/>
        <w:ind w:firstLine="413" w:firstLineChars="196"/>
        <w:rPr>
          <w:rFonts w:ascii="Times New Roman" w:hAnsi="Times New Roman" w:cs="Times New Roman"/>
          <w:kern w:val="0"/>
        </w:rPr>
      </w:pPr>
      <w:r>
        <w:rPr>
          <w:rFonts w:hint="eastAsia" w:hAnsi="宋体" w:cs="宋体"/>
          <w:b/>
          <w:bCs/>
          <w:kern w:val="0"/>
        </w:rPr>
        <w:t>2.</w:t>
      </w:r>
      <w:r>
        <w:rPr>
          <w:rFonts w:ascii="Times New Roman" w:hAnsi="Times New Roman" w:cs="Times New Roman"/>
          <w:b/>
          <w:kern w:val="0"/>
        </w:rPr>
        <w:t>重柴油</w:t>
      </w:r>
      <w:r>
        <w:rPr>
          <w:rFonts w:ascii="Times New Roman" w:hAnsi="Times New Roman" w:cs="Times New Roman"/>
          <w:kern w:val="0"/>
        </w:rPr>
        <w:t xml:space="preserve">  指由常减压装置蒸馏产出的直馏重柴油，或经过精制的二次加工重质柴油组分（如催化裂化柴油、加氢裂化柴油、经加氢精制的焦化柴油等），或与适量轻质柴油组分按不同比例调合而成，供转速为每分钟1000转以下的柴油机使用的柴油。包括以下牌号：</w:t>
      </w:r>
      <w:r>
        <w:rPr>
          <w:rFonts w:hint="eastAsia" w:hAnsi="宋体" w:cs="宋体"/>
          <w:kern w:val="0"/>
        </w:rPr>
        <w:t>10号、20号、30</w:t>
      </w:r>
      <w:r>
        <w:rPr>
          <w:rFonts w:ascii="Times New Roman" w:hAnsi="Times New Roman" w:cs="Times New Roman"/>
          <w:kern w:val="0"/>
        </w:rPr>
        <w:t>号等。</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润滑油</w:t>
      </w:r>
      <w:r>
        <w:rPr>
          <w:rFonts w:eastAsia="黑体"/>
          <w:bCs/>
        </w:rPr>
        <w:t xml:space="preserve">  </w:t>
      </w:r>
      <w:r>
        <w:rPr>
          <w:rFonts w:ascii="Times New Roman" w:hAnsi="Times New Roman" w:cs="Times New Roman"/>
          <w:kern w:val="0"/>
        </w:rPr>
        <w:t>指以原油经常减压蒸馏装置和二次加工所得的馏分油为原料，经糠醛精制和溶剂脱蜡或压榨脱蜡，再经白土或加氢精制工艺所得的润滑油基础油，加入清净、分散、抗氧、抗腐、抗泡等添加剂调合而成。</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cs="Times New Roman"/>
          <w:kern w:val="0"/>
        </w:rPr>
        <w:t>润滑油品种、规格、牌号较多，广泛应用于机械设备上，不同的应用领域要求使用不同的品种，不同的使用环境和条件又要求使用不同的牌号。我国采用国际标准化组织的分类标准，制定了国家标准</w:t>
      </w:r>
      <w:r>
        <w:rPr>
          <w:rFonts w:hint="eastAsia" w:hAnsi="宋体" w:cs="宋体"/>
          <w:kern w:val="0"/>
        </w:rPr>
        <w:t>GB/T7631。</w:t>
      </w:r>
      <w:r>
        <w:rPr>
          <w:rFonts w:ascii="Times New Roman" w:hAnsi="Times New Roman" w:cs="Times New Roman"/>
          <w:kern w:val="0"/>
        </w:rPr>
        <w:t>目前润滑油分为</w:t>
      </w:r>
      <w:r>
        <w:rPr>
          <w:rFonts w:hint="eastAsia" w:hAnsi="宋体" w:cs="宋体"/>
          <w:kern w:val="0"/>
        </w:rPr>
        <w:t>16</w:t>
      </w:r>
      <w:r>
        <w:rPr>
          <w:rFonts w:ascii="Times New Roman" w:hAnsi="Times New Roman" w:cs="Times New Roman"/>
          <w:kern w:val="0"/>
        </w:rPr>
        <w:t>类：全损耗系统用油、齿轮用油、压缩机用油、主轴轴承用油、导轨用油、液压系统用油、金属加工用油、电器绝缘用油、防护防蚀用油、汽轮机用油、热处理用油、蒸汽汽缸用油、橡胶填充用油、白油、专用润滑油、热传导液等。</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燃料油</w:t>
      </w:r>
      <w:r>
        <w:rPr>
          <w:rFonts w:eastAsia="黑体"/>
          <w:bCs/>
        </w:rPr>
        <w:t xml:space="preserve">  </w:t>
      </w:r>
      <w:r>
        <w:rPr>
          <w:rFonts w:ascii="Times New Roman" w:hAnsi="Times New Roman" w:cs="Times New Roman"/>
          <w:kern w:val="0"/>
        </w:rPr>
        <w:t>包括船用燃料油、重油或其他燃料油。燃料油分为商品燃料油和自用燃料油。商品燃料油指企业作为商品销售的燃料油；自用燃料油指本企业用作燃料和化肥、化工原料的自用油。</w:t>
      </w:r>
    </w:p>
    <w:p>
      <w:pPr>
        <w:pStyle w:val="10"/>
        <w:adjustRightInd w:val="0"/>
        <w:spacing w:line="360" w:lineRule="exact"/>
        <w:ind w:firstLine="413" w:firstLineChars="196"/>
        <w:rPr>
          <w:rFonts w:ascii="Times New Roman" w:hAnsi="Times New Roman" w:cs="Times New Roman"/>
          <w:kern w:val="0"/>
        </w:rPr>
      </w:pPr>
      <w:r>
        <w:rPr>
          <w:rFonts w:hint="eastAsia" w:hAnsi="宋体" w:cs="宋体"/>
          <w:b/>
          <w:kern w:val="0"/>
        </w:rPr>
        <w:t>1.</w:t>
      </w:r>
      <w:r>
        <w:rPr>
          <w:rFonts w:ascii="Times New Roman" w:hAnsi="Times New Roman" w:cs="Times New Roman"/>
          <w:b/>
          <w:kern w:val="0"/>
        </w:rPr>
        <w:t xml:space="preserve">船用燃料油 </w:t>
      </w:r>
      <w:r>
        <w:rPr>
          <w:rFonts w:ascii="Times New Roman" w:hAnsi="Times New Roman" w:cs="Times New Roman"/>
          <w:kern w:val="0"/>
        </w:rPr>
        <w:t xml:space="preserve"> 由原油经蒸馏后的常压重油或减压渣油与适量的二次加工柴油组分按不同比例调合而成。主要用于大型低速远洋船舶柴油机（转速低于每分钟</w:t>
      </w:r>
      <w:r>
        <w:rPr>
          <w:rFonts w:hint="eastAsia" w:hAnsi="宋体" w:cs="宋体"/>
          <w:kern w:val="0"/>
        </w:rPr>
        <w:t>150</w:t>
      </w:r>
      <w:r>
        <w:rPr>
          <w:rFonts w:ascii="Times New Roman" w:hAnsi="Times New Roman" w:cs="Times New Roman"/>
          <w:kern w:val="0"/>
        </w:rPr>
        <w:t>转）作燃料。包括：舰用燃料油、</w:t>
      </w:r>
      <w:r>
        <w:rPr>
          <w:rFonts w:hint="eastAsia" w:hAnsi="宋体" w:cs="宋体"/>
          <w:kern w:val="0"/>
        </w:rPr>
        <w:t>1000</w:t>
      </w:r>
      <w:r>
        <w:rPr>
          <w:rFonts w:ascii="Times New Roman" w:hAnsi="Times New Roman" w:cs="Times New Roman"/>
          <w:kern w:val="0"/>
        </w:rPr>
        <w:t>秒船用燃料油、</w:t>
      </w:r>
      <w:r>
        <w:rPr>
          <w:rFonts w:hint="eastAsia" w:hAnsi="宋体" w:cs="宋体"/>
          <w:kern w:val="0"/>
        </w:rPr>
        <w:t>1500秒船用燃料油及0号、2号、5号、6号、23号、其他船用燃料油。</w:t>
      </w:r>
    </w:p>
    <w:p>
      <w:pPr>
        <w:pStyle w:val="10"/>
        <w:adjustRightInd w:val="0"/>
        <w:spacing w:line="360" w:lineRule="exact"/>
        <w:ind w:firstLine="413" w:firstLineChars="196"/>
        <w:rPr>
          <w:rFonts w:hAnsi="宋体" w:cs="宋体"/>
          <w:kern w:val="0"/>
        </w:rPr>
      </w:pPr>
      <w:r>
        <w:rPr>
          <w:rFonts w:hint="eastAsia" w:hAnsi="宋体" w:cs="宋体"/>
          <w:b/>
          <w:kern w:val="0"/>
        </w:rPr>
        <w:t>2.</w:t>
      </w:r>
      <w:r>
        <w:rPr>
          <w:rFonts w:ascii="Times New Roman" w:hAnsi="Times New Roman" w:cs="Times New Roman"/>
          <w:b/>
          <w:kern w:val="0"/>
        </w:rPr>
        <w:t xml:space="preserve">重油 </w:t>
      </w:r>
      <w:r>
        <w:rPr>
          <w:rFonts w:ascii="Times New Roman" w:hAnsi="Times New Roman" w:cs="Times New Roman"/>
          <w:kern w:val="0"/>
        </w:rPr>
        <w:t xml:space="preserve"> 指原油经常减压装置蒸馏后的减压渣油与二次加工组分油按不同比例调合而成。主要用于各种锅炉或其他工业炉燃料，也可用于重油制氢、生产合成氨和炭黑的原料。一般分为以下牌号：</w:t>
      </w:r>
      <w:r>
        <w:rPr>
          <w:rFonts w:hint="eastAsia" w:hAnsi="宋体" w:cs="宋体"/>
          <w:kern w:val="0"/>
        </w:rPr>
        <w:t>10号、20号、60号、100号、200号及其他重油。</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石脑油</w:t>
      </w:r>
      <w:r>
        <w:rPr>
          <w:rFonts w:eastAsia="黑体"/>
          <w:bCs/>
        </w:rPr>
        <w:t xml:space="preserve">  </w:t>
      </w:r>
      <w:r>
        <w:rPr>
          <w:rFonts w:ascii="Times New Roman" w:hAnsi="Times New Roman" w:cs="Times New Roman"/>
          <w:kern w:val="0"/>
        </w:rPr>
        <w:t>属一部分石油轻馏分的泛称；用途不同，各种馏程亦不同。馏程自初馏点至</w:t>
      </w:r>
      <w:r>
        <w:rPr>
          <w:rFonts w:hint="eastAsia" w:hAnsi="宋体" w:cs="宋体"/>
          <w:kern w:val="0"/>
        </w:rPr>
        <w:t>220℃左右，主要用作重整和化工原料；70-145℃馏分，称轻石脑油，生产芳烃的重整原料；70-180℃馏分，</w:t>
      </w:r>
      <w:r>
        <w:rPr>
          <w:rFonts w:ascii="Times New Roman" w:hAnsi="Times New Roman" w:cs="Times New Roman"/>
          <w:kern w:val="0"/>
        </w:rPr>
        <w:t>称重石脑油，用作生产高辛烷值汽油。用作溶剂时，称作溶剂石脑油；来自煤焦油的芳香族溶剂油也称作重石脑油或溶剂石脑油。</w:t>
      </w:r>
    </w:p>
    <w:p>
      <w:pPr>
        <w:pStyle w:val="10"/>
        <w:adjustRightInd w:val="0"/>
        <w:spacing w:line="360" w:lineRule="exact"/>
        <w:ind w:firstLine="411" w:firstLineChars="196"/>
        <w:rPr>
          <w:rFonts w:hAnsi="宋体" w:cs="宋体"/>
          <w:kern w:val="0"/>
        </w:rPr>
      </w:pPr>
      <w:r>
        <w:rPr>
          <w:rFonts w:ascii="Times New Roman" w:hAnsi="Times New Roman" w:eastAsia="黑体" w:cs="Times New Roman"/>
        </w:rPr>
        <w:t>溶剂油</w:t>
      </w:r>
      <w:r>
        <w:rPr>
          <w:rFonts w:eastAsia="黑体"/>
          <w:bCs/>
        </w:rPr>
        <w:t xml:space="preserve">  </w:t>
      </w:r>
      <w:r>
        <w:rPr>
          <w:rFonts w:ascii="Times New Roman" w:hAnsi="Times New Roman" w:cs="Times New Roman"/>
          <w:kern w:val="0"/>
        </w:rPr>
        <w:t>指以蒸馏装置的直馏汽油组分或催化重整的抽余油为原料，经精制、分馏而制成，按馏分不同分为以下不同牌号：</w:t>
      </w:r>
      <w:r>
        <w:rPr>
          <w:rFonts w:hint="eastAsia" w:hAnsi="宋体" w:cs="宋体"/>
          <w:kern w:val="0"/>
        </w:rPr>
        <w:t>6号抽提溶剂油，用于植物油萃取工艺中作抽提溶剂，也可作合成橡胶工艺中的溶剂、化学试剂、化学溶剂等；70号溶剂油，别名香花溶剂油，用于香花香料及油脂工业作抽提剂；90号溶剂油，别名90号石油醚，用于化学试剂、医药溶剂；120号橡胶溶剂油，用于橡胶工业作溶剂；190号溶剂油，用于机械零件洗涤和工农业生产作溶剂；200号溶剂油，用作油漆工业溶剂和稀释剂；260号溶剂油，为煤油型特种溶剂；300号彩色油墨溶剂油，用于制造高档油墨；航空洗涤油，用于航空机件等精密机件的洗涤，也用作航空涡轮发电机点火燃料。</w:t>
      </w:r>
    </w:p>
    <w:p>
      <w:pPr>
        <w:adjustRightInd w:val="0"/>
        <w:spacing w:line="360" w:lineRule="exact"/>
        <w:ind w:firstLine="411" w:firstLineChars="196"/>
        <w:rPr>
          <w:szCs w:val="21"/>
        </w:rPr>
      </w:pPr>
      <w:r>
        <w:rPr>
          <w:rFonts w:eastAsia="黑体"/>
          <w:szCs w:val="21"/>
        </w:rPr>
        <w:t>石蜡</w:t>
      </w:r>
      <w:r>
        <w:rPr>
          <w:rFonts w:eastAsia="黑体"/>
          <w:bCs/>
          <w:szCs w:val="21"/>
        </w:rPr>
        <w:t xml:space="preserve">  </w:t>
      </w:r>
      <w:r>
        <w:rPr>
          <w:szCs w:val="21"/>
        </w:rPr>
        <w:t>指从石油、页岩油或其他沥青矿物油的某些馏出物中提取出来的烃类混合物，主要成分是固体烷烃，无臭无味，为白色或淡黄色半透明固体。</w:t>
      </w:r>
    </w:p>
    <w:p>
      <w:pPr>
        <w:pStyle w:val="10"/>
        <w:adjustRightInd w:val="0"/>
        <w:spacing w:line="360" w:lineRule="exact"/>
        <w:ind w:firstLine="411" w:firstLineChars="196"/>
        <w:rPr>
          <w:rFonts w:hAnsi="宋体" w:cs="宋体"/>
          <w:kern w:val="0"/>
        </w:rPr>
      </w:pPr>
      <w:r>
        <w:rPr>
          <w:rFonts w:ascii="Times New Roman" w:hAnsi="Times New Roman" w:eastAsia="黑体" w:cs="Times New Roman"/>
        </w:rPr>
        <w:t>石油焦</w:t>
      </w:r>
      <w:r>
        <w:rPr>
          <w:rFonts w:eastAsia="黑体"/>
          <w:bCs/>
        </w:rPr>
        <w:t xml:space="preserve">  </w:t>
      </w:r>
      <w:r>
        <w:rPr>
          <w:rFonts w:ascii="Times New Roman" w:hAnsi="Times New Roman" w:cs="Times New Roman"/>
          <w:kern w:val="0"/>
        </w:rPr>
        <w:t>指以原油经常减压装置蒸馏所得的渣油或以重油为原料，经焦化装置生产。产品按用途分为三个牌号，每个牌号按质量分为</w:t>
      </w:r>
      <w:r>
        <w:rPr>
          <w:rFonts w:hint="eastAsia" w:hAnsi="宋体" w:cs="宋体"/>
          <w:kern w:val="0"/>
        </w:rPr>
        <w:t>A、B两类，牌号有1#A、1#B、2#A、2#B、3#A、3#B石油焦等。主要用于制造石墨电极、碳素、碳化硅、碳化钙等产品的原料，也可直接用于冶炼、铸煅工艺作燃料。</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石油沥青</w:t>
      </w:r>
      <w:r>
        <w:rPr>
          <w:rFonts w:eastAsia="黑体"/>
          <w:bCs/>
        </w:rPr>
        <w:t xml:space="preserve">  </w:t>
      </w:r>
      <w:r>
        <w:rPr>
          <w:rFonts w:ascii="Times New Roman" w:hAnsi="Times New Roman" w:cs="Times New Roman"/>
          <w:kern w:val="0"/>
        </w:rPr>
        <w:t>指由原油经常减压装置蒸馏直接获得的渣油制品，也可以用减压渣油为原料经氧化，溶剂脱出的沥青再经适度氧化或调合而成。是来自原油中的最重的组分，是高度缩合的多环烃类混合物，具有良好的粘结性、绝缘性、不渗水性，并能抵抗许多化学药物的侵蚀，广泛用于道路工程、建筑工程、水利工程、防护涂料以及保持水土、改良土壤等领域。沥青性能主要是以软化点、针入度、延伸度来表示的。软化点表示沥青的耐热性能，软化点越高则耐热性能越好。针入度反映沥青的流变性能，为使道路沥青与砂石粘结紧密，需要高针入度的沥青；而作为防腐用的专用沥青，则需要低针入度的沥青，防止流失。延伸度表示沥青的抗张性和可塑性，道路沥青要求的延伸度最高，是为了保证在低温下路面不致受车辆碾压而出现裂缝。沥青按用途可分为普通沥青、道路沥青、建筑沥青、专用沥青，其中以道路沥青的用量最大。</w:t>
      </w:r>
    </w:p>
    <w:p>
      <w:pPr>
        <w:pStyle w:val="10"/>
        <w:adjustRightInd w:val="0"/>
        <w:spacing w:line="360" w:lineRule="exact"/>
        <w:ind w:firstLine="411" w:firstLineChars="196"/>
        <w:rPr>
          <w:rFonts w:ascii="Times New Roman" w:hAnsi="Times New Roman" w:eastAsia="黑体"/>
        </w:rPr>
      </w:pPr>
      <w:r>
        <w:rPr>
          <w:rFonts w:ascii="Times New Roman" w:hAnsi="Times New Roman" w:eastAsia="黑体"/>
        </w:rPr>
        <w:t xml:space="preserve">燃料气 </w:t>
      </w:r>
      <w:r>
        <w:rPr>
          <w:rFonts w:eastAsia="黑体"/>
          <w:bCs/>
        </w:rPr>
        <w:t xml:space="preserve"> </w:t>
      </w:r>
      <w:r>
        <w:rPr>
          <w:rFonts w:hint="eastAsia" w:hAnsi="宋体" w:cs="宋体"/>
          <w:kern w:val="0"/>
        </w:rPr>
        <w:t>指</w:t>
      </w:r>
      <w:r>
        <w:rPr>
          <w:rFonts w:hAnsi="宋体" w:cs="宋体"/>
          <w:kern w:val="0"/>
        </w:rPr>
        <w:t>炼油厂在进行原油催化裂解与热裂解时所得到的</w:t>
      </w:r>
      <w:r>
        <w:rPr>
          <w:rFonts w:hint="eastAsia" w:hAnsi="宋体" w:cs="宋体"/>
          <w:kern w:val="0"/>
        </w:rPr>
        <w:t>气体及</w:t>
      </w:r>
      <w:r>
        <w:rPr>
          <w:rFonts w:hAnsi="宋体" w:cs="宋体"/>
          <w:kern w:val="0"/>
        </w:rPr>
        <w:t>由气体</w:t>
      </w:r>
      <w:r>
        <w:rPr>
          <w:rFonts w:hint="eastAsia" w:hAnsi="宋体" w:cs="宋体"/>
          <w:kern w:val="0"/>
        </w:rPr>
        <w:t>加压</w:t>
      </w:r>
      <w:r>
        <w:rPr>
          <w:rFonts w:hAnsi="宋体" w:cs="宋体"/>
          <w:kern w:val="0"/>
        </w:rPr>
        <w:t>液化而成的</w:t>
      </w:r>
      <w:r>
        <w:rPr>
          <w:rFonts w:hint="eastAsia" w:hAnsi="宋体" w:cs="宋体"/>
          <w:kern w:val="0"/>
        </w:rPr>
        <w:t>液态</w:t>
      </w:r>
      <w:r>
        <w:rPr>
          <w:rFonts w:hAnsi="宋体" w:cs="宋体"/>
          <w:kern w:val="0"/>
        </w:rPr>
        <w:t>产品</w:t>
      </w:r>
      <w:r>
        <w:fldChar w:fldCharType="begin"/>
      </w:r>
      <w:r>
        <w:instrText xml:space="preserve"> HYPERLINK "https://baike.baidu.com/item/%E5%89%AF%E4%BA%A7%E5%93%81" \t "_blank" </w:instrText>
      </w:r>
      <w:r>
        <w:fldChar w:fldCharType="separate"/>
      </w:r>
      <w:r>
        <w:fldChar w:fldCharType="end"/>
      </w:r>
      <w:r>
        <w:rPr>
          <w:rFonts w:hint="eastAsia" w:hAnsi="宋体" w:cs="宋体"/>
          <w:kern w:val="0"/>
        </w:rPr>
        <w:t>，包括液化石油气、炼厂干气等。</w:t>
      </w:r>
    </w:p>
    <w:p>
      <w:pPr>
        <w:pStyle w:val="10"/>
        <w:adjustRightInd w:val="0"/>
        <w:spacing w:line="360" w:lineRule="exact"/>
        <w:ind w:firstLine="411" w:firstLineChars="196"/>
        <w:rPr>
          <w:rFonts w:ascii="Times New Roman" w:hAnsi="Times New Roman"/>
          <w:kern w:val="0"/>
        </w:rPr>
      </w:pPr>
      <w:r>
        <w:rPr>
          <w:rFonts w:ascii="Times New Roman" w:hAnsi="Times New Roman" w:eastAsia="黑体"/>
        </w:rPr>
        <w:t>液化石油气</w:t>
      </w:r>
      <w:r>
        <w:rPr>
          <w:rFonts w:eastAsia="黑体"/>
          <w:bCs/>
        </w:rPr>
        <w:t xml:space="preserve">  </w:t>
      </w:r>
      <w:r>
        <w:rPr>
          <w:rFonts w:ascii="Times New Roman" w:hAnsi="Times New Roman"/>
          <w:kern w:val="0"/>
        </w:rPr>
        <w:t>亦称液化气或压缩汽油，是炼油精制过程中产生并回收的气体在常温下经加压而成的液态产品。主要成分是丙烷、丁烷、丙烯、丁烯，主要用作石油化工原料，脱硫后可直接用作燃料。</w:t>
      </w:r>
    </w:p>
    <w:p>
      <w:pPr>
        <w:adjustRightInd w:val="0"/>
        <w:spacing w:line="360" w:lineRule="exact"/>
        <w:ind w:firstLine="411" w:firstLineChars="196"/>
        <w:rPr>
          <w:kern w:val="0"/>
          <w:szCs w:val="21"/>
        </w:rPr>
      </w:pPr>
      <w:r>
        <w:rPr>
          <w:rFonts w:eastAsia="黑体" w:cs="Courier New"/>
          <w:szCs w:val="21"/>
        </w:rPr>
        <w:t>炼厂干气</w:t>
      </w:r>
      <w:r>
        <w:rPr>
          <w:rFonts w:eastAsia="黑体"/>
          <w:bCs/>
          <w:szCs w:val="21"/>
        </w:rPr>
        <w:t xml:space="preserve">  </w:t>
      </w:r>
      <w:r>
        <w:rPr>
          <w:rFonts w:ascii="宋体" w:hAnsi="宋体" w:cs="宋体"/>
          <w:kern w:val="0"/>
          <w:szCs w:val="21"/>
        </w:rPr>
        <w:t>指炼油厂炼油过程中产生并回收的非冷凝气体（也称蒸馏气），主要成分为乙烯、丙烯和甲烷、乙烷、丙烷、丁烷等，主要用作燃料和化工原料。</w:t>
      </w:r>
    </w:p>
    <w:p>
      <w:pPr>
        <w:adjustRightInd w:val="0"/>
        <w:spacing w:line="360" w:lineRule="exact"/>
        <w:ind w:firstLine="411" w:firstLineChars="196"/>
      </w:pPr>
      <w:r>
        <w:rPr>
          <w:rFonts w:eastAsia="黑体"/>
          <w:szCs w:val="21"/>
        </w:rPr>
        <w:t>其他石油制品</w:t>
      </w:r>
      <w:r>
        <w:rPr>
          <w:rFonts w:eastAsia="黑体"/>
          <w:bCs/>
          <w:szCs w:val="21"/>
        </w:rPr>
        <w:t xml:space="preserve">  </w:t>
      </w:r>
      <w:r>
        <w:rPr>
          <w:kern w:val="0"/>
        </w:rPr>
        <w:t>指石油加工过程中除汽油、煤油、柴油、燃料油、液化石油气、炼厂干气、石脑油、润滑油、石蜡、溶剂油、石油焦、石油沥青以外的其他炼油产品。石油制品很多，目录中只列出了上述主要品种，统计时为了简化，把除这些主要品种以外的其他石油产品归并在“其他石油制品”一个目录下一起填报。</w:t>
      </w:r>
    </w:p>
    <w:p>
      <w:pPr>
        <w:pStyle w:val="10"/>
        <w:adjustRightInd w:val="0"/>
        <w:spacing w:line="360" w:lineRule="exact"/>
        <w:ind w:firstLine="411" w:firstLineChars="196"/>
        <w:rPr>
          <w:rFonts w:hAnsi="宋体" w:cs="宋体"/>
          <w:kern w:val="0"/>
        </w:rPr>
      </w:pPr>
      <w:r>
        <w:rPr>
          <w:rFonts w:hint="eastAsia" w:ascii="Times New Roman" w:hAnsi="Times New Roman" w:eastAsia="黑体"/>
        </w:rPr>
        <w:t>生物质</w:t>
      </w:r>
      <w:r>
        <w:rPr>
          <w:rFonts w:ascii="Times New Roman" w:hAnsi="Times New Roman" w:eastAsia="黑体"/>
        </w:rPr>
        <w:t>能</w:t>
      </w:r>
      <w:r>
        <w:rPr>
          <w:rFonts w:eastAsia="黑体"/>
          <w:bCs/>
        </w:rPr>
        <w:t xml:space="preserve">  </w:t>
      </w:r>
      <w:r>
        <w:rPr>
          <w:rFonts w:ascii="Times New Roman" w:hAnsi="Times New Roman" w:cs="Times New Roman"/>
          <w:kern w:val="0"/>
          <w:szCs w:val="24"/>
        </w:rPr>
        <w:t>太阳能以</w:t>
      </w:r>
      <w:r>
        <w:fldChar w:fldCharType="begin"/>
      </w:r>
      <w:r>
        <w:instrText xml:space="preserve"> HYPERLINK "https://baike.baidu.com/item/%E5%8C%96%E5%AD%A6%E8%83%BD" \t "_blank" </w:instrText>
      </w:r>
      <w:r>
        <w:fldChar w:fldCharType="separate"/>
      </w:r>
      <w:r>
        <w:rPr>
          <w:rFonts w:ascii="Times New Roman" w:hAnsi="Times New Roman" w:cs="Times New Roman"/>
          <w:kern w:val="0"/>
          <w:szCs w:val="24"/>
        </w:rPr>
        <w:t>化学能</w:t>
      </w:r>
      <w:r>
        <w:rPr>
          <w:rFonts w:ascii="Times New Roman" w:hAnsi="Times New Roman" w:cs="Times New Roman"/>
          <w:kern w:val="0"/>
          <w:szCs w:val="24"/>
        </w:rPr>
        <w:fldChar w:fldCharType="end"/>
      </w:r>
      <w:r>
        <w:rPr>
          <w:rFonts w:ascii="Times New Roman" w:hAnsi="Times New Roman" w:cs="Times New Roman"/>
          <w:kern w:val="0"/>
          <w:szCs w:val="24"/>
        </w:rPr>
        <w:t>形式贮存在生物质中的能量形式，即以生物质为载体的能量。</w:t>
      </w:r>
    </w:p>
    <w:p>
      <w:pPr>
        <w:pStyle w:val="10"/>
        <w:adjustRightInd w:val="0"/>
        <w:spacing w:line="360" w:lineRule="exact"/>
        <w:ind w:firstLine="411" w:firstLineChars="196"/>
        <w:rPr>
          <w:rFonts w:hAnsi="宋体" w:cs="宋体"/>
          <w:kern w:val="0"/>
        </w:rPr>
      </w:pPr>
      <w:r>
        <w:rPr>
          <w:rFonts w:ascii="Times New Roman" w:hAnsi="Times New Roman" w:eastAsia="黑体"/>
        </w:rPr>
        <w:t>固态生物燃料</w:t>
      </w:r>
      <w:r>
        <w:rPr>
          <w:rFonts w:eastAsia="黑体"/>
          <w:bCs/>
        </w:rPr>
        <w:t xml:space="preserve">  </w:t>
      </w:r>
      <w:r>
        <w:rPr>
          <w:rFonts w:hint="eastAsia" w:hAnsi="宋体" w:cs="宋体"/>
          <w:kern w:val="0"/>
        </w:rPr>
        <w:t>指</w:t>
      </w:r>
      <w:r>
        <w:rPr>
          <w:rFonts w:hAnsi="宋体" w:cs="宋体"/>
          <w:kern w:val="0"/>
        </w:rPr>
        <w:t>来源于生物质的固态燃料，</w:t>
      </w:r>
      <w:r>
        <w:rPr>
          <w:rFonts w:hint="eastAsia" w:hAnsi="宋体" w:cs="宋体"/>
          <w:kern w:val="0"/>
        </w:rPr>
        <w:t>包括薪柴、木材残渣</w:t>
      </w:r>
      <w:r>
        <w:rPr>
          <w:rFonts w:hAnsi="宋体" w:cs="宋体"/>
          <w:kern w:val="0"/>
        </w:rPr>
        <w:t>、</w:t>
      </w:r>
      <w:r>
        <w:rPr>
          <w:rFonts w:hint="eastAsia" w:hAnsi="宋体" w:cs="宋体"/>
          <w:kern w:val="0"/>
        </w:rPr>
        <w:t>动物废料、植物材料、木炭等。</w:t>
      </w:r>
    </w:p>
    <w:p>
      <w:pPr>
        <w:pStyle w:val="10"/>
        <w:adjustRightInd w:val="0"/>
        <w:spacing w:line="360" w:lineRule="exact"/>
        <w:ind w:firstLine="411" w:firstLineChars="196"/>
        <w:rPr>
          <w:rFonts w:hAnsi="宋体" w:cs="宋体"/>
          <w:kern w:val="0"/>
        </w:rPr>
      </w:pPr>
      <w:r>
        <w:rPr>
          <w:rFonts w:ascii="Times New Roman" w:hAnsi="Times New Roman" w:eastAsia="黑体"/>
        </w:rPr>
        <w:t>液态生物燃料</w:t>
      </w:r>
      <w:r>
        <w:rPr>
          <w:rFonts w:eastAsia="黑体"/>
          <w:bCs/>
        </w:rPr>
        <w:t xml:space="preserve">  </w:t>
      </w:r>
      <w:r>
        <w:rPr>
          <w:rFonts w:hint="eastAsia" w:hAnsi="宋体" w:cs="宋体"/>
          <w:kern w:val="0"/>
        </w:rPr>
        <w:t>指由以</w:t>
      </w:r>
      <w:r>
        <w:rPr>
          <w:rFonts w:hAnsi="宋体" w:cs="宋体"/>
          <w:kern w:val="0"/>
        </w:rPr>
        <w:t>生物质</w:t>
      </w:r>
      <w:r>
        <w:rPr>
          <w:rFonts w:hint="eastAsia" w:hAnsi="宋体" w:cs="宋体"/>
          <w:kern w:val="0"/>
        </w:rPr>
        <w:t>为</w:t>
      </w:r>
      <w:r>
        <w:rPr>
          <w:rFonts w:hAnsi="宋体" w:cs="宋体"/>
          <w:kern w:val="0"/>
        </w:rPr>
        <w:t>原料</w:t>
      </w:r>
      <w:r>
        <w:rPr>
          <w:rFonts w:hint="eastAsia" w:hAnsi="宋体" w:cs="宋体"/>
          <w:kern w:val="0"/>
        </w:rPr>
        <w:t>加工</w:t>
      </w:r>
      <w:r>
        <w:rPr>
          <w:rFonts w:hAnsi="宋体" w:cs="宋体"/>
          <w:kern w:val="0"/>
        </w:rPr>
        <w:t>转换得到的</w:t>
      </w:r>
      <w:r>
        <w:rPr>
          <w:rFonts w:hint="eastAsia" w:hAnsi="宋体" w:cs="宋体"/>
          <w:kern w:val="0"/>
        </w:rPr>
        <w:t>液态</w:t>
      </w:r>
      <w:r>
        <w:rPr>
          <w:rFonts w:hAnsi="宋体" w:cs="宋体"/>
          <w:kern w:val="0"/>
        </w:rPr>
        <w:t>燃料</w:t>
      </w:r>
      <w:r>
        <w:rPr>
          <w:rFonts w:hint="eastAsia" w:hAnsi="宋体" w:cs="宋体"/>
          <w:kern w:val="0"/>
        </w:rPr>
        <w:t>。</w:t>
      </w:r>
    </w:p>
    <w:p>
      <w:pPr>
        <w:adjustRightInd w:val="0"/>
        <w:spacing w:line="360" w:lineRule="exact"/>
        <w:ind w:firstLine="411" w:firstLineChars="196"/>
        <w:rPr>
          <w:kern w:val="0"/>
          <w:szCs w:val="21"/>
        </w:rPr>
      </w:pPr>
      <w:r>
        <w:rPr>
          <w:rFonts w:eastAsia="黑体"/>
          <w:szCs w:val="21"/>
        </w:rPr>
        <w:t>生物乙醇</w:t>
      </w:r>
      <w:r>
        <w:rPr>
          <w:rFonts w:eastAsia="黑体"/>
          <w:bCs/>
          <w:szCs w:val="21"/>
        </w:rPr>
        <w:t xml:space="preserve">  </w:t>
      </w:r>
      <w:r>
        <w:rPr>
          <w:kern w:val="0"/>
          <w:szCs w:val="21"/>
        </w:rPr>
        <w:t>指以淀粉质、糖质为原料，经发酵、蒸馏制得乙醇，脱水后，再添加变性剂（车用无铅汽油）变性的燃料乙醇，也称为变性燃料乙醇。</w:t>
      </w:r>
    </w:p>
    <w:p>
      <w:pPr>
        <w:adjustRightInd w:val="0"/>
        <w:spacing w:line="360" w:lineRule="exact"/>
        <w:ind w:firstLine="411" w:firstLineChars="196"/>
        <w:rPr>
          <w:spacing w:val="4"/>
          <w:kern w:val="0"/>
          <w:szCs w:val="21"/>
        </w:rPr>
      </w:pPr>
      <w:r>
        <w:rPr>
          <w:rFonts w:eastAsia="黑体"/>
          <w:szCs w:val="21"/>
        </w:rPr>
        <w:t>生物</w:t>
      </w:r>
      <w:r>
        <w:fldChar w:fldCharType="begin"/>
      </w:r>
      <w:r>
        <w:instrText xml:space="preserve"> HYPERLINK "http://baike.baidu.com/view/70396.htm" \t "_blank" </w:instrText>
      </w:r>
      <w:r>
        <w:fldChar w:fldCharType="separate"/>
      </w:r>
      <w:r>
        <w:rPr>
          <w:rFonts w:eastAsia="黑体"/>
          <w:szCs w:val="21"/>
        </w:rPr>
        <w:t>柴油</w:t>
      </w:r>
      <w:r>
        <w:rPr>
          <w:rFonts w:eastAsia="黑体"/>
          <w:szCs w:val="21"/>
        </w:rPr>
        <w:fldChar w:fldCharType="end"/>
      </w:r>
      <w:r>
        <w:rPr>
          <w:rFonts w:eastAsia="黑体"/>
          <w:bCs/>
          <w:szCs w:val="21"/>
        </w:rPr>
        <w:t xml:space="preserve">  </w:t>
      </w:r>
      <w:r>
        <w:rPr>
          <w:spacing w:val="4"/>
          <w:kern w:val="0"/>
          <w:szCs w:val="21"/>
        </w:rPr>
        <w:t>指以油料作物如大豆、油菜、棉、棕榈等，野生油料植物和工程</w:t>
      </w:r>
      <w:r>
        <w:fldChar w:fldCharType="begin"/>
      </w:r>
      <w:r>
        <w:instrText xml:space="preserve"> HYPERLINK "http://baike.baidu.com/view/1115476.htm" \t "_blank" </w:instrText>
      </w:r>
      <w:r>
        <w:fldChar w:fldCharType="separate"/>
      </w:r>
      <w:r>
        <w:rPr>
          <w:spacing w:val="4"/>
          <w:kern w:val="0"/>
          <w:szCs w:val="21"/>
        </w:rPr>
        <w:t>微藻</w:t>
      </w:r>
      <w:r>
        <w:rPr>
          <w:spacing w:val="4"/>
          <w:kern w:val="0"/>
          <w:szCs w:val="21"/>
        </w:rPr>
        <w:fldChar w:fldCharType="end"/>
      </w:r>
      <w:r>
        <w:rPr>
          <w:spacing w:val="4"/>
          <w:kern w:val="0"/>
          <w:szCs w:val="21"/>
        </w:rPr>
        <w:t>等水生植物油脂以及动物油脂、</w:t>
      </w:r>
      <w:r>
        <w:fldChar w:fldCharType="begin"/>
      </w:r>
      <w:r>
        <w:instrText xml:space="preserve"> HYPERLINK "http://baike.baidu.com/view/4515328.htm" \t "_blank" </w:instrText>
      </w:r>
      <w:r>
        <w:fldChar w:fldCharType="separate"/>
      </w:r>
      <w:r>
        <w:rPr>
          <w:spacing w:val="4"/>
          <w:kern w:val="0"/>
          <w:szCs w:val="21"/>
        </w:rPr>
        <w:t>餐饮垃圾</w:t>
      </w:r>
      <w:r>
        <w:rPr>
          <w:spacing w:val="4"/>
          <w:kern w:val="0"/>
          <w:szCs w:val="21"/>
        </w:rPr>
        <w:fldChar w:fldCharType="end"/>
      </w:r>
      <w:r>
        <w:rPr>
          <w:spacing w:val="4"/>
          <w:kern w:val="0"/>
          <w:szCs w:val="21"/>
        </w:rPr>
        <w:t>油等为原料油通过酯交换或热化学工艺制成的可代替石化柴油的再生性柴油燃料。</w:t>
      </w:r>
    </w:p>
    <w:p>
      <w:pPr>
        <w:pStyle w:val="10"/>
        <w:adjustRightInd w:val="0"/>
        <w:spacing w:line="360" w:lineRule="exact"/>
        <w:ind w:firstLine="411" w:firstLineChars="196"/>
        <w:rPr>
          <w:rFonts w:hAnsi="宋体" w:cs="宋体"/>
          <w:kern w:val="0"/>
        </w:rPr>
      </w:pPr>
      <w:r>
        <w:rPr>
          <w:rFonts w:ascii="Times New Roman" w:hAnsi="Times New Roman" w:eastAsia="黑体"/>
        </w:rPr>
        <w:t>生物航空煤油</w:t>
      </w:r>
      <w:r>
        <w:rPr>
          <w:rFonts w:eastAsia="黑体"/>
          <w:bCs/>
        </w:rPr>
        <w:t xml:space="preserve">  </w:t>
      </w:r>
      <w:r>
        <w:rPr>
          <w:rFonts w:hint="eastAsia" w:hAnsi="宋体" w:cs="宋体"/>
          <w:kern w:val="0"/>
        </w:rPr>
        <w:t>指</w:t>
      </w:r>
      <w:r>
        <w:rPr>
          <w:rFonts w:hAnsi="宋体" w:cs="宋体"/>
          <w:kern w:val="0"/>
        </w:rPr>
        <w:t>以废弃动植物油脂</w:t>
      </w:r>
      <w:r>
        <w:rPr>
          <w:rFonts w:hint="eastAsia" w:hAnsi="宋体" w:cs="宋体"/>
          <w:kern w:val="0"/>
        </w:rPr>
        <w:t>（地沟油）</w:t>
      </w:r>
      <w:r>
        <w:rPr>
          <w:rFonts w:hAnsi="宋体" w:cs="宋体"/>
          <w:kern w:val="0"/>
        </w:rPr>
        <w:t>、农林废弃物、油藻</w:t>
      </w:r>
      <w:r>
        <w:rPr>
          <w:rFonts w:hint="eastAsia" w:hAnsi="宋体" w:cs="宋体"/>
          <w:kern w:val="0"/>
        </w:rPr>
        <w:t>、</w:t>
      </w:r>
      <w:r>
        <w:rPr>
          <w:rFonts w:hAnsi="宋体" w:cs="宋体"/>
          <w:kern w:val="0"/>
        </w:rPr>
        <w:t>棕榈油</w:t>
      </w:r>
      <w:r>
        <w:rPr>
          <w:rFonts w:hint="eastAsia" w:hAnsi="宋体" w:cs="宋体"/>
          <w:kern w:val="0"/>
        </w:rPr>
        <w:t>等</w:t>
      </w:r>
      <w:r>
        <w:rPr>
          <w:rFonts w:hAnsi="宋体" w:cs="宋体"/>
          <w:kern w:val="0"/>
        </w:rPr>
        <w:t>为原料</w:t>
      </w:r>
      <w:r>
        <w:rPr>
          <w:rFonts w:hint="eastAsia" w:hAnsi="宋体" w:cs="宋体"/>
          <w:kern w:val="0"/>
        </w:rPr>
        <w:t>通过加氢、</w:t>
      </w:r>
      <w:r>
        <w:rPr>
          <w:rFonts w:hAnsi="宋体" w:cs="宋体"/>
          <w:kern w:val="0"/>
        </w:rPr>
        <w:t>催化等</w:t>
      </w:r>
      <w:r>
        <w:rPr>
          <w:rFonts w:hint="eastAsia" w:hAnsi="宋体" w:cs="宋体"/>
          <w:kern w:val="0"/>
        </w:rPr>
        <w:t>工艺</w:t>
      </w:r>
      <w:r>
        <w:rPr>
          <w:rFonts w:hAnsi="宋体" w:cs="宋体"/>
          <w:kern w:val="0"/>
        </w:rPr>
        <w:t>加工得到的航空煤油。</w:t>
      </w:r>
    </w:p>
    <w:p>
      <w:pPr>
        <w:pStyle w:val="10"/>
        <w:adjustRightInd w:val="0"/>
        <w:spacing w:line="360" w:lineRule="exact"/>
        <w:ind w:firstLine="411" w:firstLineChars="196"/>
        <w:rPr>
          <w:rFonts w:ascii="Times New Roman" w:hAnsi="Times New Roman" w:eastAsia="黑体"/>
        </w:rPr>
      </w:pPr>
      <w:r>
        <w:rPr>
          <w:rFonts w:ascii="Times New Roman" w:hAnsi="Times New Roman" w:eastAsia="黑体"/>
        </w:rPr>
        <w:t>其他液态生物燃料</w:t>
      </w:r>
      <w:r>
        <w:rPr>
          <w:rFonts w:eastAsia="黑体"/>
          <w:bCs/>
        </w:rPr>
        <w:t xml:space="preserve">  </w:t>
      </w:r>
      <w:r>
        <w:rPr>
          <w:rFonts w:hint="eastAsia" w:hAnsi="宋体" w:cs="宋体"/>
          <w:kern w:val="0"/>
        </w:rPr>
        <w:t>不属于</w:t>
      </w:r>
      <w:r>
        <w:rPr>
          <w:rFonts w:hAnsi="宋体" w:cs="宋体"/>
          <w:kern w:val="0"/>
        </w:rPr>
        <w:t>上述</w:t>
      </w:r>
      <w:r>
        <w:rPr>
          <w:rFonts w:hint="eastAsia" w:hAnsi="宋体" w:cs="宋体"/>
          <w:kern w:val="0"/>
        </w:rPr>
        <w:t>燃料的其他液态</w:t>
      </w:r>
      <w:r>
        <w:rPr>
          <w:rFonts w:hAnsi="宋体" w:cs="宋体"/>
          <w:kern w:val="0"/>
        </w:rPr>
        <w:t>生物燃料</w:t>
      </w:r>
      <w:r>
        <w:rPr>
          <w:rFonts w:hint="eastAsia" w:hAnsi="宋体" w:cs="宋体"/>
          <w:kern w:val="0"/>
        </w:rPr>
        <w:t>。</w:t>
      </w:r>
    </w:p>
    <w:p>
      <w:pPr>
        <w:pStyle w:val="10"/>
        <w:adjustRightInd w:val="0"/>
        <w:spacing w:line="360" w:lineRule="exact"/>
        <w:ind w:firstLine="411" w:firstLineChars="196"/>
        <w:rPr>
          <w:rFonts w:ascii="Times New Roman" w:hAnsi="Times New Roman" w:eastAsia="黑体"/>
        </w:rPr>
      </w:pPr>
      <w:r>
        <w:rPr>
          <w:rFonts w:ascii="Times New Roman" w:hAnsi="Times New Roman" w:eastAsia="黑体"/>
        </w:rPr>
        <w:t>气态生物燃料</w:t>
      </w:r>
      <w:r>
        <w:rPr>
          <w:rFonts w:eastAsia="黑体"/>
          <w:bCs/>
        </w:rPr>
        <w:t xml:space="preserve">  </w:t>
      </w:r>
      <w:r>
        <w:rPr>
          <w:rFonts w:hint="eastAsia" w:hAnsi="宋体" w:cs="宋体"/>
          <w:kern w:val="0"/>
        </w:rPr>
        <w:t>指由</w:t>
      </w:r>
      <w:r>
        <w:rPr>
          <w:rFonts w:hAnsi="宋体" w:cs="宋体"/>
          <w:kern w:val="0"/>
        </w:rPr>
        <w:t>生物质厌氧发酵</w:t>
      </w:r>
      <w:r>
        <w:rPr>
          <w:rFonts w:hint="eastAsia" w:hAnsi="宋体" w:cs="宋体"/>
          <w:kern w:val="0"/>
        </w:rPr>
        <w:t>或</w:t>
      </w:r>
      <w:r>
        <w:rPr>
          <w:rFonts w:hAnsi="宋体" w:cs="宋体"/>
          <w:kern w:val="0"/>
        </w:rPr>
        <w:t>固态生物质气化得到的</w:t>
      </w:r>
      <w:r>
        <w:rPr>
          <w:rFonts w:hint="eastAsia" w:hAnsi="宋体" w:cs="宋体"/>
          <w:kern w:val="0"/>
        </w:rPr>
        <w:t>气体。</w:t>
      </w:r>
      <w:r>
        <w:rPr>
          <w:rFonts w:hAnsi="宋体" w:cs="宋体"/>
          <w:kern w:val="0"/>
        </w:rPr>
        <w:t>厌氧发酵</w:t>
      </w:r>
      <w:r>
        <w:rPr>
          <w:rFonts w:hint="eastAsia" w:hAnsi="宋体" w:cs="宋体"/>
          <w:kern w:val="0"/>
        </w:rPr>
        <w:t>得到</w:t>
      </w:r>
      <w:r>
        <w:rPr>
          <w:rFonts w:hAnsi="宋体" w:cs="宋体"/>
          <w:kern w:val="0"/>
        </w:rPr>
        <w:t>的气态生物燃料主要由甲烷和二氧化碳组成，包括垃圾填埋气体、</w:t>
      </w:r>
      <w:r>
        <w:rPr>
          <w:rFonts w:hint="eastAsia" w:hAnsi="宋体" w:cs="宋体"/>
          <w:kern w:val="0"/>
        </w:rPr>
        <w:t>沼气等</w:t>
      </w:r>
      <w:r>
        <w:rPr>
          <w:rFonts w:hAnsi="宋体" w:cs="宋体"/>
          <w:kern w:val="0"/>
        </w:rPr>
        <w:t>。</w:t>
      </w:r>
      <w:r>
        <w:rPr>
          <w:rFonts w:hint="eastAsia" w:hAnsi="宋体" w:cs="宋体"/>
          <w:kern w:val="0"/>
        </w:rPr>
        <w:t>气态</w:t>
      </w:r>
      <w:r>
        <w:rPr>
          <w:rFonts w:hAnsi="宋体" w:cs="宋体"/>
          <w:kern w:val="0"/>
        </w:rPr>
        <w:t>生物燃料还可以由</w:t>
      </w:r>
      <w:r>
        <w:rPr>
          <w:rFonts w:hint="eastAsia" w:hAnsi="宋体" w:cs="宋体"/>
          <w:kern w:val="0"/>
        </w:rPr>
        <w:t>气化</w:t>
      </w:r>
      <w:r>
        <w:rPr>
          <w:rFonts w:hAnsi="宋体" w:cs="宋体"/>
          <w:kern w:val="0"/>
        </w:rPr>
        <w:t>或热分解生物质得到，得到的气体主要</w:t>
      </w:r>
      <w:r>
        <w:rPr>
          <w:rFonts w:hint="eastAsia" w:hAnsi="宋体" w:cs="宋体"/>
          <w:kern w:val="0"/>
        </w:rPr>
        <w:t>为</w:t>
      </w:r>
      <w:r>
        <w:rPr>
          <w:rFonts w:hAnsi="宋体" w:cs="宋体"/>
          <w:kern w:val="0"/>
        </w:rPr>
        <w:t>氢气、一氧化碳</w:t>
      </w:r>
      <w:r>
        <w:rPr>
          <w:rFonts w:hint="eastAsia" w:hAnsi="宋体" w:cs="宋体"/>
          <w:kern w:val="0"/>
        </w:rPr>
        <w:t>及其他</w:t>
      </w:r>
      <w:r>
        <w:rPr>
          <w:rFonts w:hAnsi="宋体" w:cs="宋体"/>
          <w:kern w:val="0"/>
        </w:rPr>
        <w:t>气体的混合物。</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发电量</w:t>
      </w:r>
      <w:r>
        <w:rPr>
          <w:rFonts w:eastAsia="黑体"/>
          <w:bCs/>
        </w:rPr>
        <w:t xml:space="preserve">  </w:t>
      </w:r>
      <w:r>
        <w:rPr>
          <w:rFonts w:ascii="Times New Roman" w:hAnsi="Times New Roman" w:cs="Times New Roman"/>
          <w:kern w:val="0"/>
        </w:rPr>
        <w:t>指电厂（发电机组）在报告期内生产的电能量。它是发电机组经过对一次能源的加工转换而生产出的有功电能数量，即发电机实际发出的有功功率（千瓦）与发电机实际运行时间的乘积。发电量包括全部电力工业企业、自备电厂的产量。新装发电设备在未正式投入生产以前所发的电量以及发电设备大修或改进后试运转期间所发的电量，凡被本厂或用户利用的，均应计入发电量中，未被利用的，则不应计入。发电量中不包括电动的交直流变换、励磁机和周波变换的电量。</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火力发电</w:t>
      </w:r>
      <w:r>
        <w:rPr>
          <w:rFonts w:ascii="Times New Roman" w:hAnsi="Times New Roman" w:cs="Times New Roman"/>
          <w:kern w:val="0"/>
        </w:rPr>
        <w:t xml:space="preserve"> </w:t>
      </w:r>
      <w:r>
        <w:rPr>
          <w:rFonts w:hint="eastAsia" w:ascii="Times New Roman" w:hAnsi="Times New Roman" w:cs="Times New Roman"/>
          <w:kern w:val="0"/>
        </w:rPr>
        <w:t xml:space="preserve"> </w:t>
      </w:r>
      <w:r>
        <w:rPr>
          <w:rFonts w:ascii="Times New Roman" w:hAnsi="Times New Roman" w:cs="Times New Roman"/>
          <w:kern w:val="0"/>
        </w:rPr>
        <w:t>指利用煤炭、燃油、燃气、生物质等燃料燃烧时产生的热能，通过火电动力装置转换成电能的发电方式，包括燃煤发电，燃气发电，燃油发电，余热、余压、余气发电，生物质发电等。</w:t>
      </w:r>
    </w:p>
    <w:p>
      <w:pPr>
        <w:adjustRightInd w:val="0"/>
        <w:spacing w:line="360" w:lineRule="exact"/>
        <w:ind w:firstLine="411" w:firstLineChars="196"/>
        <w:rPr>
          <w:kern w:val="0"/>
          <w:szCs w:val="21"/>
        </w:rPr>
      </w:pPr>
      <w:r>
        <w:rPr>
          <w:rFonts w:eastAsia="黑体"/>
          <w:kern w:val="0"/>
          <w:szCs w:val="21"/>
        </w:rPr>
        <w:t>燃煤发电</w:t>
      </w:r>
      <w:r>
        <w:rPr>
          <w:rFonts w:eastAsia="黑体"/>
          <w:bCs/>
          <w:szCs w:val="21"/>
        </w:rPr>
        <w:t xml:space="preserve">  </w:t>
      </w:r>
      <w:r>
        <w:rPr>
          <w:kern w:val="0"/>
          <w:szCs w:val="21"/>
        </w:rPr>
        <w:t>指利用煤炭燃烧时产生的热能，通过火电动力装置转换成电能的发电方式，包括煤矸石发电。</w:t>
      </w:r>
    </w:p>
    <w:p>
      <w:pPr>
        <w:adjustRightInd w:val="0"/>
        <w:spacing w:line="360" w:lineRule="exact"/>
        <w:ind w:firstLine="411" w:firstLineChars="196"/>
        <w:rPr>
          <w:rFonts w:eastAsia="黑体"/>
          <w:kern w:val="0"/>
          <w:szCs w:val="21"/>
        </w:rPr>
      </w:pPr>
      <w:r>
        <w:rPr>
          <w:rFonts w:eastAsia="黑体"/>
          <w:kern w:val="0"/>
          <w:szCs w:val="21"/>
        </w:rPr>
        <w:t>煤矸石发电</w:t>
      </w:r>
      <w:r>
        <w:rPr>
          <w:rFonts w:eastAsia="黑体"/>
          <w:bCs/>
          <w:szCs w:val="21"/>
        </w:rPr>
        <w:t xml:space="preserve">  </w:t>
      </w:r>
      <w:r>
        <w:rPr>
          <w:kern w:val="0"/>
          <w:szCs w:val="21"/>
        </w:rPr>
        <w:t>指利用采煤和洗煤过程中排放的低热值固体废物（煤矸石）燃烧时产生的热能，通过火电动力装置转换成电能的发电方式。通常需掺烧一定数量的原煤。</w:t>
      </w:r>
    </w:p>
    <w:p>
      <w:pPr>
        <w:adjustRightInd w:val="0"/>
        <w:spacing w:line="360" w:lineRule="exact"/>
        <w:ind w:firstLine="411" w:firstLineChars="196"/>
        <w:rPr>
          <w:kern w:val="0"/>
          <w:szCs w:val="21"/>
        </w:rPr>
      </w:pPr>
      <w:r>
        <w:rPr>
          <w:rFonts w:eastAsia="黑体"/>
          <w:kern w:val="0"/>
          <w:szCs w:val="21"/>
        </w:rPr>
        <w:t>燃气发电</w:t>
      </w:r>
      <w:r>
        <w:rPr>
          <w:rFonts w:eastAsia="黑体"/>
          <w:bCs/>
          <w:szCs w:val="21"/>
        </w:rPr>
        <w:t xml:space="preserve">  </w:t>
      </w:r>
      <w:r>
        <w:rPr>
          <w:kern w:val="0"/>
          <w:szCs w:val="21"/>
        </w:rPr>
        <w:t>指利用气体燃料通过燃气轮机转变为机械能，带动发电机发电的发电方式，包括煤层气发电。</w:t>
      </w:r>
    </w:p>
    <w:p>
      <w:pPr>
        <w:adjustRightInd w:val="0"/>
        <w:spacing w:line="360" w:lineRule="exact"/>
        <w:ind w:firstLine="411" w:firstLineChars="196"/>
        <w:rPr>
          <w:rFonts w:eastAsia="黑体"/>
          <w:kern w:val="0"/>
          <w:szCs w:val="21"/>
        </w:rPr>
      </w:pPr>
      <w:r>
        <w:rPr>
          <w:rFonts w:eastAsia="黑体"/>
          <w:kern w:val="0"/>
          <w:szCs w:val="21"/>
        </w:rPr>
        <w:t>煤层气发电</w:t>
      </w:r>
      <w:r>
        <w:rPr>
          <w:rFonts w:eastAsia="黑体"/>
          <w:bCs/>
          <w:szCs w:val="21"/>
        </w:rPr>
        <w:t xml:space="preserve">  </w:t>
      </w:r>
      <w:r>
        <w:rPr>
          <w:kern w:val="0"/>
          <w:szCs w:val="21"/>
        </w:rPr>
        <w:t>指利用煤层气燃烧时产生的热能，通过火电动力装置转换成电能的发电方式。</w:t>
      </w:r>
    </w:p>
    <w:p>
      <w:pPr>
        <w:adjustRightInd w:val="0"/>
        <w:spacing w:line="360" w:lineRule="exact"/>
        <w:ind w:firstLine="411" w:firstLineChars="196"/>
        <w:rPr>
          <w:kern w:val="0"/>
          <w:szCs w:val="21"/>
        </w:rPr>
      </w:pPr>
      <w:r>
        <w:rPr>
          <w:rFonts w:eastAsia="黑体"/>
          <w:kern w:val="0"/>
          <w:szCs w:val="21"/>
        </w:rPr>
        <w:t>燃油发电</w:t>
      </w:r>
      <w:r>
        <w:rPr>
          <w:rFonts w:eastAsia="黑体"/>
          <w:bCs/>
          <w:szCs w:val="21"/>
        </w:rPr>
        <w:t xml:space="preserve">  </w:t>
      </w:r>
      <w:r>
        <w:rPr>
          <w:kern w:val="0"/>
          <w:szCs w:val="21"/>
        </w:rPr>
        <w:t xml:space="preserve">指将燃油燃烧时产生的热能，通过发电动力装置（电厂锅炉、汽轮机和发电机及其辅助装置等）转换成电能的发电方式。主要包括渣油（重油）发电和柴（汽）油发电。 </w:t>
      </w:r>
    </w:p>
    <w:p>
      <w:pPr>
        <w:adjustRightInd w:val="0"/>
        <w:spacing w:line="360" w:lineRule="exact"/>
        <w:ind w:firstLine="411" w:firstLineChars="196"/>
        <w:rPr>
          <w:rFonts w:eastAsia="黑体"/>
          <w:kern w:val="0"/>
          <w:szCs w:val="21"/>
        </w:rPr>
      </w:pPr>
      <w:r>
        <w:rPr>
          <w:rFonts w:eastAsia="黑体"/>
          <w:kern w:val="0"/>
          <w:szCs w:val="21"/>
        </w:rPr>
        <w:t>余热、余压、余气发电</w:t>
      </w:r>
      <w:r>
        <w:rPr>
          <w:rFonts w:eastAsia="黑体"/>
          <w:bCs/>
          <w:szCs w:val="21"/>
        </w:rPr>
        <w:t xml:space="preserve">  </w:t>
      </w:r>
      <w:r>
        <w:rPr>
          <w:kern w:val="0"/>
          <w:szCs w:val="21"/>
        </w:rPr>
        <w:t>指利用余热、余压、余气通过火电动力装置转换成电能的发电方式。</w:t>
      </w:r>
    </w:p>
    <w:p>
      <w:pPr>
        <w:adjustRightInd w:val="0"/>
        <w:spacing w:line="360" w:lineRule="exact"/>
        <w:ind w:firstLine="411" w:firstLineChars="196"/>
        <w:rPr>
          <w:kern w:val="0"/>
          <w:szCs w:val="21"/>
        </w:rPr>
      </w:pPr>
      <w:r>
        <w:rPr>
          <w:rFonts w:eastAsia="黑体"/>
          <w:szCs w:val="21"/>
        </w:rPr>
        <w:t>生物质发电</w:t>
      </w:r>
      <w:r>
        <w:rPr>
          <w:rFonts w:eastAsia="黑体"/>
          <w:bCs/>
          <w:szCs w:val="21"/>
        </w:rPr>
        <w:t xml:space="preserve">  </w:t>
      </w:r>
      <w:r>
        <w:rPr>
          <w:kern w:val="0"/>
          <w:szCs w:val="21"/>
        </w:rPr>
        <w:t>指利用生物质所具有的生物质能进行发电的发电方式</w:t>
      </w:r>
      <w:r>
        <w:rPr>
          <w:szCs w:val="21"/>
        </w:rPr>
        <w:t>，包括</w:t>
      </w:r>
      <w:r>
        <w:fldChar w:fldCharType="begin"/>
      </w:r>
      <w:r>
        <w:instrText xml:space="preserve"> HYPERLINK "http://baike.baidu.com/subview/11637699/11988541.htm" \t "_blank" </w:instrText>
      </w:r>
      <w:r>
        <w:fldChar w:fldCharType="separate"/>
      </w:r>
      <w:r>
        <w:rPr>
          <w:szCs w:val="21"/>
        </w:rPr>
        <w:t>农林废弃物</w:t>
      </w:r>
      <w:r>
        <w:rPr>
          <w:szCs w:val="21"/>
        </w:rPr>
        <w:fldChar w:fldCharType="end"/>
      </w:r>
      <w:r>
        <w:rPr>
          <w:szCs w:val="21"/>
        </w:rPr>
        <w:t>直接燃烧发电、</w:t>
      </w:r>
      <w:r>
        <w:fldChar w:fldCharType="begin"/>
      </w:r>
      <w:r>
        <w:instrText xml:space="preserve"> HYPERLINK "http://baike.baidu.com/subview/1817765/1817765.htm" \t "_blank" </w:instrText>
      </w:r>
      <w:r>
        <w:fldChar w:fldCharType="separate"/>
      </w:r>
      <w:r>
        <w:rPr>
          <w:szCs w:val="21"/>
        </w:rPr>
        <w:t>沼气发电</w:t>
      </w:r>
      <w:r>
        <w:rPr>
          <w:szCs w:val="21"/>
        </w:rPr>
        <w:fldChar w:fldCharType="end"/>
      </w:r>
      <w:r>
        <w:rPr>
          <w:kern w:val="0"/>
          <w:szCs w:val="21"/>
        </w:rPr>
        <w:t>。</w:t>
      </w:r>
    </w:p>
    <w:p>
      <w:pPr>
        <w:adjustRightInd w:val="0"/>
        <w:spacing w:line="360" w:lineRule="exact"/>
        <w:ind w:firstLine="411" w:firstLineChars="196"/>
        <w:rPr>
          <w:kern w:val="0"/>
          <w:szCs w:val="21"/>
        </w:rPr>
      </w:pPr>
      <w:r>
        <w:rPr>
          <w:rFonts w:eastAsia="黑体"/>
          <w:szCs w:val="21"/>
        </w:rPr>
        <w:t>沼气发电</w:t>
      </w:r>
      <w:r>
        <w:rPr>
          <w:rFonts w:eastAsia="黑体"/>
          <w:bCs/>
          <w:szCs w:val="21"/>
        </w:rPr>
        <w:t xml:space="preserve">  </w:t>
      </w:r>
      <w:r>
        <w:rPr>
          <w:kern w:val="0"/>
          <w:szCs w:val="21"/>
        </w:rPr>
        <w:t>指利用厌氧发酵处理产生的沼气进行发电的发电方式，包括农林废弃物气化发电、垃圾填埋气发电。</w:t>
      </w:r>
    </w:p>
    <w:p>
      <w:pPr>
        <w:adjustRightInd w:val="0"/>
        <w:spacing w:line="360" w:lineRule="exact"/>
        <w:ind w:firstLine="411" w:firstLineChars="196"/>
        <w:rPr>
          <w:kern w:val="0"/>
          <w:szCs w:val="21"/>
        </w:rPr>
      </w:pPr>
      <w:r>
        <w:rPr>
          <w:rFonts w:eastAsia="黑体"/>
          <w:kern w:val="0"/>
          <w:szCs w:val="21"/>
        </w:rPr>
        <w:t>垃圾焚烧发电</w:t>
      </w:r>
      <w:r>
        <w:rPr>
          <w:rFonts w:eastAsia="黑体"/>
          <w:bCs/>
          <w:szCs w:val="21"/>
        </w:rPr>
        <w:t xml:space="preserve">  </w:t>
      </w:r>
      <w:r>
        <w:rPr>
          <w:kern w:val="0"/>
          <w:szCs w:val="21"/>
        </w:rPr>
        <w:t>指把经过分类处理后燃烧值较高的垃圾进行高温焚烧，产生热能通过火电动力装置转换成电能的发电方式。</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水力发电</w:t>
      </w:r>
      <w:r>
        <w:rPr>
          <w:rFonts w:eastAsia="黑体"/>
          <w:bCs/>
        </w:rPr>
        <w:t xml:space="preserve">  </w:t>
      </w:r>
      <w:r>
        <w:rPr>
          <w:rFonts w:ascii="Times New Roman" w:hAnsi="Times New Roman" w:cs="Times New Roman"/>
          <w:kern w:val="0"/>
        </w:rPr>
        <w:t>指利用水位落差，配合水轮发电机产生电力的一种发电方式，也就是利用水的势能转为水轮机的机械能，再以机械能推动发电机产生电能，包括抽水蓄能发电。</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kern w:val="0"/>
        </w:rPr>
        <w:t>抽水蓄能发电</w:t>
      </w:r>
      <w:r>
        <w:rPr>
          <w:rFonts w:eastAsia="黑体"/>
          <w:bCs/>
        </w:rPr>
        <w:t xml:space="preserve">  </w:t>
      </w:r>
      <w:r>
        <w:rPr>
          <w:rFonts w:ascii="Times New Roman" w:hAnsi="Times New Roman" w:cs="Times New Roman"/>
          <w:kern w:val="0"/>
        </w:rPr>
        <w:t>指利用电力系统负荷低谷时的电能抽水至上水库，在电力负荷高峰期再放水至下水库发电的发电方式。</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核能发电</w:t>
      </w:r>
      <w:r>
        <w:rPr>
          <w:rFonts w:eastAsia="黑体"/>
          <w:bCs/>
        </w:rPr>
        <w:t xml:space="preserve">  </w:t>
      </w:r>
      <w:r>
        <w:rPr>
          <w:rFonts w:ascii="Times New Roman" w:hAnsi="Times New Roman" w:cs="Times New Roman"/>
          <w:kern w:val="0"/>
        </w:rPr>
        <w:t>指利用原子反应堆中</w:t>
      </w:r>
      <w:r>
        <w:fldChar w:fldCharType="begin"/>
      </w:r>
      <w:r>
        <w:instrText xml:space="preserve"> HYPERLINK "http://zhidao.baidu.com/search?word=%E6%A0%B8%E7%87%83%E6%96%99&amp;fr=qb_search_exp&amp;ie=utf8" </w:instrText>
      </w:r>
      <w:r>
        <w:fldChar w:fldCharType="separate"/>
      </w:r>
      <w:r>
        <w:rPr>
          <w:rFonts w:ascii="Times New Roman" w:hAnsi="Times New Roman" w:cs="Times New Roman"/>
          <w:kern w:val="0"/>
        </w:rPr>
        <w:t>核燃料</w:t>
      </w:r>
      <w:r>
        <w:rPr>
          <w:rFonts w:ascii="Times New Roman" w:hAnsi="Times New Roman" w:cs="Times New Roman"/>
          <w:kern w:val="0"/>
        </w:rPr>
        <w:fldChar w:fldCharType="end"/>
      </w:r>
      <w:r>
        <w:rPr>
          <w:rFonts w:ascii="Times New Roman" w:hAnsi="Times New Roman" w:cs="Times New Roman"/>
          <w:kern w:val="0"/>
        </w:rPr>
        <w:t>(例如铀)缓慢裂变所释放的热能产生蒸汽驱动</w:t>
      </w:r>
      <w:r>
        <w:fldChar w:fldCharType="begin"/>
      </w:r>
      <w:r>
        <w:instrText xml:space="preserve"> HYPERLINK "http://zhidao.baidu.com/search?word=%E6%B1%BD%E8%BD%AE%E6%9C%BA&amp;fr=qb_search_exp&amp;ie=utf8" </w:instrText>
      </w:r>
      <w:r>
        <w:fldChar w:fldCharType="separate"/>
      </w:r>
      <w:r>
        <w:rPr>
          <w:rFonts w:ascii="Times New Roman" w:hAnsi="Times New Roman" w:cs="Times New Roman"/>
          <w:kern w:val="0"/>
        </w:rPr>
        <w:t>汽轮机</w:t>
      </w:r>
      <w:r>
        <w:rPr>
          <w:rFonts w:ascii="Times New Roman" w:hAnsi="Times New Roman" w:cs="Times New Roman"/>
          <w:kern w:val="0"/>
        </w:rPr>
        <w:fldChar w:fldCharType="end"/>
      </w:r>
      <w:r>
        <w:rPr>
          <w:rFonts w:ascii="Times New Roman" w:hAnsi="Times New Roman" w:cs="Times New Roman"/>
          <w:kern w:val="0"/>
        </w:rPr>
        <w:t>再带动发电机发电的一种发电方式。</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风力发电</w:t>
      </w:r>
      <w:r>
        <w:rPr>
          <w:rFonts w:eastAsia="黑体"/>
          <w:bCs/>
        </w:rPr>
        <w:t xml:space="preserve">  </w:t>
      </w:r>
      <w:r>
        <w:rPr>
          <w:rFonts w:ascii="Times New Roman" w:hAnsi="Times New Roman" w:cs="Times New Roman"/>
          <w:kern w:val="0"/>
        </w:rPr>
        <w:t>指把风的动能转变成机械动能，再把机械能转化为电力动能的发电方式。</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太阳能发电</w:t>
      </w:r>
      <w:r>
        <w:rPr>
          <w:rFonts w:eastAsia="黑体"/>
          <w:bCs/>
        </w:rPr>
        <w:t xml:space="preserve">  </w:t>
      </w:r>
      <w:r>
        <w:rPr>
          <w:rFonts w:ascii="Times New Roman" w:hAnsi="Times New Roman" w:cs="Times New Roman"/>
          <w:kern w:val="0"/>
        </w:rPr>
        <w:t>指先将太阳光或能转化为热能，再将热能转化成电能或者直接将太阳能转换成电能的发电方式，主要包括太阳能光伏发电和太阳能光热发电。</w:t>
      </w:r>
    </w:p>
    <w:p>
      <w:pPr>
        <w:adjustRightInd w:val="0"/>
        <w:spacing w:line="360" w:lineRule="exact"/>
        <w:ind w:firstLine="411" w:firstLineChars="196"/>
        <w:rPr>
          <w:kern w:val="0"/>
          <w:szCs w:val="21"/>
        </w:rPr>
      </w:pPr>
      <w:r>
        <w:rPr>
          <w:kern w:val="0"/>
          <w:szCs w:val="21"/>
        </w:rPr>
        <w:t>太阳能光伏发电是利用太阳能电池直接将太阳能转换成电能的发电方式。</w:t>
      </w:r>
    </w:p>
    <w:p>
      <w:pPr>
        <w:adjustRightInd w:val="0"/>
        <w:spacing w:line="360" w:lineRule="exact"/>
        <w:ind w:firstLine="411" w:firstLineChars="196"/>
        <w:rPr>
          <w:kern w:val="0"/>
        </w:rPr>
      </w:pPr>
      <w:r>
        <w:rPr>
          <w:kern w:val="0"/>
        </w:rPr>
        <w:t>太阳能光热发电是指利用大规模阵列抛物或碟形镜面收集太阳热能，通过换热装置提供蒸汽，结合传统汽轮发电机的工艺发电的发电方式。</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潮汐能发电</w:t>
      </w:r>
      <w:r>
        <w:rPr>
          <w:rFonts w:eastAsia="黑体"/>
          <w:bCs/>
        </w:rPr>
        <w:t xml:space="preserve">  </w:t>
      </w:r>
      <w:r>
        <w:rPr>
          <w:rFonts w:ascii="Times New Roman" w:hAnsi="Times New Roman" w:cs="Times New Roman"/>
          <w:kern w:val="0"/>
        </w:rPr>
        <w:t>指利用潮汐的动能和势能发电的发电方式。也就是在涨潮时将海水以势能的形式储存在水库内，在落潮时利用高、低潮位之间的落差放出海水，推动水轮机旋转带动发电机发电。</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地热能发电</w:t>
      </w:r>
      <w:r>
        <w:rPr>
          <w:rFonts w:eastAsia="黑体"/>
          <w:bCs/>
        </w:rPr>
        <w:t xml:space="preserve">  </w:t>
      </w:r>
      <w:r>
        <w:rPr>
          <w:rFonts w:ascii="Times New Roman" w:hAnsi="Times New Roman" w:cs="Times New Roman"/>
          <w:kern w:val="0"/>
        </w:rPr>
        <w:t>指利用地下热能转变为机械能，然后再把机械能转变为电能的一种发电方式。能够把地下热能带到地面并用于发电的载热介质主要是天然蒸汽（干蒸汽和湿蒸汽）和地下热水。</w:t>
      </w:r>
    </w:p>
    <w:p>
      <w:pPr>
        <w:pStyle w:val="10"/>
        <w:adjustRightInd w:val="0"/>
        <w:spacing w:line="360" w:lineRule="exact"/>
        <w:ind w:firstLine="411" w:firstLineChars="196"/>
        <w:rPr>
          <w:rFonts w:ascii="Times New Roman" w:hAnsi="Times New Roman" w:cs="Times New Roman"/>
          <w:kern w:val="0"/>
        </w:rPr>
      </w:pPr>
      <w:r>
        <w:rPr>
          <w:rFonts w:ascii="Times New Roman" w:hAnsi="Times New Roman" w:eastAsia="黑体" w:cs="Times New Roman"/>
        </w:rPr>
        <w:t>其他发电</w:t>
      </w:r>
      <w:r>
        <w:rPr>
          <w:rFonts w:eastAsia="黑体"/>
          <w:bCs/>
        </w:rPr>
        <w:t xml:space="preserve">  </w:t>
      </w:r>
      <w:r>
        <w:rPr>
          <w:rFonts w:ascii="Times New Roman" w:hAnsi="Times New Roman" w:cs="Times New Roman"/>
          <w:kern w:val="0"/>
        </w:rPr>
        <w:t>指不属于上述各类的发电形式。</w:t>
      </w:r>
    </w:p>
    <w:p>
      <w:pPr>
        <w:pStyle w:val="10"/>
        <w:adjustRightInd w:val="0"/>
        <w:spacing w:line="360" w:lineRule="exact"/>
        <w:ind w:firstLine="411" w:firstLineChars="196"/>
      </w:pPr>
      <w:r>
        <w:rPr>
          <w:rFonts w:ascii="Times New Roman" w:hAnsi="Times New Roman" w:eastAsia="黑体"/>
        </w:rPr>
        <w:t>热力</w:t>
      </w:r>
      <w:r>
        <w:rPr>
          <w:rFonts w:eastAsia="黑体"/>
          <w:bCs/>
        </w:rPr>
        <w:t xml:space="preserve">  </w:t>
      </w:r>
      <w:r>
        <w:t>指可提供热源的热水、蒸汽。</w:t>
      </w:r>
    </w:p>
    <w:p>
      <w:pPr>
        <w:pStyle w:val="10"/>
        <w:adjustRightInd w:val="0"/>
        <w:spacing w:line="360" w:lineRule="exact"/>
        <w:ind w:firstLine="411" w:firstLineChars="196"/>
      </w:pPr>
      <w:r>
        <w:t>热力的计算：蒸汽和热水的热力计算，与锅炉出口蒸汽、热水的温度和压力有关，计算方法：</w:t>
      </w:r>
    </w:p>
    <w:p>
      <w:pPr>
        <w:pStyle w:val="10"/>
        <w:adjustRightInd w:val="0"/>
        <w:spacing w:line="360" w:lineRule="exact"/>
        <w:ind w:firstLine="411" w:firstLineChars="196"/>
      </w:pPr>
      <w:r>
        <w:t>第一步：确定锅炉出口蒸汽和热水的温度和压力，根据温度和压力值，在焓熵图</w:t>
      </w:r>
      <w:r>
        <w:rPr>
          <w:rFonts w:hint="eastAsia"/>
        </w:rPr>
        <w:t>（</w:t>
      </w:r>
      <w:r>
        <w:t>表）查出对应的每千克蒸汽、热水的热焓；</w:t>
      </w:r>
    </w:p>
    <w:p>
      <w:pPr>
        <w:pStyle w:val="10"/>
        <w:adjustRightInd w:val="0"/>
        <w:spacing w:line="360" w:lineRule="exact"/>
        <w:ind w:firstLine="411" w:firstLineChars="196"/>
      </w:pPr>
      <w:r>
        <w:t>第二步：确定锅炉给水</w:t>
      </w:r>
      <w:r>
        <w:rPr>
          <w:rFonts w:hint="eastAsia"/>
        </w:rPr>
        <w:t>（</w:t>
      </w:r>
      <w:r>
        <w:t>或回水）的温度和压力，根据温度和压力值，在焓熵图</w:t>
      </w:r>
      <w:r>
        <w:rPr>
          <w:rFonts w:hint="eastAsia"/>
        </w:rPr>
        <w:t>（</w:t>
      </w:r>
      <w:r>
        <w:t>表）查出对应的每千克给水</w:t>
      </w:r>
      <w:r>
        <w:rPr>
          <w:rFonts w:hint="eastAsia"/>
        </w:rPr>
        <w:t>（</w:t>
      </w:r>
      <w:r>
        <w:t>或回水）的热焓；</w:t>
      </w:r>
    </w:p>
    <w:p>
      <w:pPr>
        <w:pStyle w:val="10"/>
        <w:adjustRightInd w:val="0"/>
        <w:spacing w:line="360" w:lineRule="exact"/>
        <w:ind w:firstLine="411" w:firstLineChars="196"/>
      </w:pPr>
      <w:r>
        <w:t>第三步：求第一步和第二步查出的热焓之差，再乘以蒸汽或热水的数量</w:t>
      </w:r>
      <w:r>
        <w:rPr>
          <w:rFonts w:hint="eastAsia"/>
        </w:rPr>
        <w:t>（</w:t>
      </w:r>
      <w:r>
        <w:t>按流量表读数计算），所得值即为热力的量。</w:t>
      </w:r>
    </w:p>
    <w:p>
      <w:pPr>
        <w:pStyle w:val="10"/>
        <w:adjustRightInd w:val="0"/>
        <w:spacing w:line="360" w:lineRule="exact"/>
        <w:ind w:firstLine="411" w:firstLineChars="196"/>
      </w:pPr>
      <w:r>
        <w:t>如果企业不具备上述计算热力的条件，可参考下列方法估算：</w:t>
      </w:r>
    </w:p>
    <w:p>
      <w:pPr>
        <w:pStyle w:val="10"/>
        <w:adjustRightInd w:val="0"/>
        <w:spacing w:line="360" w:lineRule="exact"/>
        <w:ind w:firstLine="411" w:firstLineChars="196"/>
      </w:pPr>
      <w:r>
        <w:t>第一步：确定锅炉蒸汽或热水的产量。产量</w:t>
      </w:r>
      <w:r>
        <w:rPr>
          <w:rFonts w:hint="eastAsia"/>
        </w:rPr>
        <w:t>＝</w:t>
      </w:r>
      <w:r>
        <w:t>锅炉的给水量</w:t>
      </w:r>
      <w:r>
        <w:rPr>
          <w:rFonts w:hint="eastAsia"/>
        </w:rPr>
        <w:t>－</w:t>
      </w:r>
      <w:r>
        <w:t>排污等损失量；</w:t>
      </w:r>
    </w:p>
    <w:p>
      <w:pPr>
        <w:pStyle w:val="10"/>
        <w:adjustRightInd w:val="0"/>
        <w:spacing w:line="360" w:lineRule="exact"/>
        <w:ind w:firstLine="411" w:firstLineChars="196"/>
      </w:pPr>
      <w:r>
        <w:t>第二步：确定蒸汽或热水的热焓。热焓的确定分以下几种情况：</w:t>
      </w:r>
    </w:p>
    <w:p>
      <w:pPr>
        <w:pStyle w:val="10"/>
        <w:adjustRightInd w:val="0"/>
        <w:spacing w:line="360" w:lineRule="exact"/>
        <w:ind w:firstLine="411" w:firstLineChars="196"/>
        <w:rPr>
          <w:rFonts w:hAnsi="宋体" w:cs="宋体"/>
        </w:rPr>
      </w:pPr>
      <w:r>
        <w:rPr>
          <w:rFonts w:hint="eastAsia" w:hAnsi="宋体" w:cs="宋体"/>
        </w:rPr>
        <w:t>(1)热水：假定出口温度为90℃，回水温度为20℃的情况下,闭路循环系统每千克热水的热焓按20千卡计算,开路供热系统每千克热水的热焓按70千卡计算。</w:t>
      </w:r>
    </w:p>
    <w:p>
      <w:pPr>
        <w:pStyle w:val="10"/>
        <w:adjustRightInd w:val="0"/>
        <w:spacing w:line="360" w:lineRule="exact"/>
        <w:ind w:firstLine="411" w:firstLineChars="196"/>
        <w:rPr>
          <w:rFonts w:hAnsi="宋体" w:cs="宋体"/>
        </w:rPr>
      </w:pPr>
      <w:r>
        <w:rPr>
          <w:rFonts w:hint="eastAsia" w:hAnsi="宋体" w:cs="宋体"/>
        </w:rPr>
        <w:t>(2)饱和蒸汽：</w:t>
      </w:r>
    </w:p>
    <w:p>
      <w:pPr>
        <w:pStyle w:val="10"/>
        <w:adjustRightInd w:val="0"/>
        <w:spacing w:line="360" w:lineRule="exact"/>
        <w:ind w:firstLine="411" w:firstLineChars="196"/>
        <w:rPr>
          <w:rFonts w:hAnsi="宋体" w:cs="宋体"/>
        </w:rPr>
      </w:pPr>
      <w:r>
        <w:rPr>
          <w:rFonts w:hint="eastAsia" w:hAnsi="宋体" w:cs="宋体"/>
        </w:rPr>
        <w:t>压力1-2.5千克/平方厘米，温度127℃以下，每千克蒸汽的热焓按620千卡计算；</w:t>
      </w:r>
    </w:p>
    <w:p>
      <w:pPr>
        <w:pStyle w:val="10"/>
        <w:adjustRightInd w:val="0"/>
        <w:spacing w:line="360" w:lineRule="exact"/>
        <w:ind w:firstLine="411" w:firstLineChars="196"/>
        <w:rPr>
          <w:rFonts w:hAnsi="宋体" w:cs="宋体"/>
        </w:rPr>
      </w:pPr>
      <w:r>
        <w:rPr>
          <w:rFonts w:hint="eastAsia" w:hAnsi="宋体" w:cs="宋体"/>
        </w:rPr>
        <w:t>压力3-7千克/平方厘米，温度135-165℃，每千克蒸汽的热焓按630千卡计算；</w:t>
      </w:r>
    </w:p>
    <w:p>
      <w:pPr>
        <w:pStyle w:val="10"/>
        <w:adjustRightInd w:val="0"/>
        <w:spacing w:line="360" w:lineRule="exact"/>
        <w:ind w:firstLine="411" w:firstLineChars="196"/>
        <w:rPr>
          <w:rFonts w:hAnsi="宋体" w:cs="宋体"/>
        </w:rPr>
      </w:pPr>
      <w:r>
        <w:rPr>
          <w:rFonts w:hint="eastAsia" w:hAnsi="宋体" w:cs="宋体"/>
        </w:rPr>
        <w:t>压力8千克/平方厘米，温度170℃以上，每千克蒸汽的热焓按640千卡计算。</w:t>
      </w:r>
    </w:p>
    <w:p>
      <w:pPr>
        <w:pStyle w:val="10"/>
        <w:adjustRightInd w:val="0"/>
        <w:spacing w:line="360" w:lineRule="exact"/>
        <w:ind w:firstLine="411" w:firstLineChars="196"/>
        <w:rPr>
          <w:rFonts w:hAnsi="宋体" w:cs="宋体"/>
        </w:rPr>
      </w:pPr>
      <w:r>
        <w:rPr>
          <w:rFonts w:hint="eastAsia" w:hAnsi="宋体" w:cs="宋体"/>
        </w:rPr>
        <w:t>(3)过热蒸汽：压力150千克/平方厘米</w:t>
      </w:r>
    </w:p>
    <w:p>
      <w:pPr>
        <w:pStyle w:val="10"/>
        <w:adjustRightInd w:val="0"/>
        <w:spacing w:line="360" w:lineRule="exact"/>
        <w:ind w:firstLine="411" w:firstLineChars="196"/>
        <w:rPr>
          <w:rFonts w:hAnsi="宋体" w:cs="宋体"/>
        </w:rPr>
      </w:pPr>
      <w:r>
        <w:rPr>
          <w:rFonts w:hint="eastAsia" w:hAnsi="宋体" w:cs="宋体"/>
        </w:rPr>
        <w:t>200℃以下，每千克蒸汽的热焓按650千卡计算；</w:t>
      </w:r>
    </w:p>
    <w:p>
      <w:pPr>
        <w:pStyle w:val="10"/>
        <w:adjustRightInd w:val="0"/>
        <w:spacing w:line="360" w:lineRule="exact"/>
        <w:ind w:firstLine="411" w:firstLineChars="196"/>
        <w:rPr>
          <w:rFonts w:hAnsi="宋体" w:cs="宋体"/>
        </w:rPr>
      </w:pPr>
      <w:r>
        <w:rPr>
          <w:rFonts w:hint="eastAsia" w:hAnsi="宋体" w:cs="宋体"/>
        </w:rPr>
        <w:t>220-260℃，每千克蒸汽的热焓按680千卡计算；</w:t>
      </w:r>
    </w:p>
    <w:p>
      <w:pPr>
        <w:pStyle w:val="10"/>
        <w:adjustRightInd w:val="0"/>
        <w:spacing w:line="360" w:lineRule="exact"/>
        <w:ind w:firstLine="411" w:firstLineChars="196"/>
        <w:rPr>
          <w:rFonts w:hAnsi="宋体" w:cs="宋体"/>
        </w:rPr>
      </w:pPr>
      <w:r>
        <w:rPr>
          <w:rFonts w:hint="eastAsia" w:hAnsi="宋体" w:cs="宋体"/>
        </w:rPr>
        <w:t>280-320℃，每千克蒸汽的热焓按700千卡计算；</w:t>
      </w:r>
    </w:p>
    <w:p>
      <w:pPr>
        <w:pStyle w:val="10"/>
        <w:adjustRightInd w:val="0"/>
        <w:spacing w:line="360" w:lineRule="exact"/>
        <w:ind w:firstLine="411" w:firstLineChars="196"/>
        <w:rPr>
          <w:rFonts w:hAnsi="宋体" w:cs="宋体"/>
        </w:rPr>
      </w:pPr>
      <w:r>
        <w:rPr>
          <w:rFonts w:hint="eastAsia" w:hAnsi="宋体" w:cs="宋体"/>
        </w:rPr>
        <w:t>350-500℃，每千克蒸汽的热焓按750千卡计算。</w:t>
      </w:r>
    </w:p>
    <w:p>
      <w:pPr>
        <w:pStyle w:val="10"/>
        <w:adjustRightInd w:val="0"/>
        <w:spacing w:line="360" w:lineRule="exact"/>
        <w:ind w:firstLine="411" w:firstLineChars="196"/>
      </w:pPr>
      <w:r>
        <w:t>第三步：根据确定的热焓，乘以产量，所得值即为热力的量。</w:t>
      </w:r>
    </w:p>
    <w:p>
      <w:pPr>
        <w:pStyle w:val="10"/>
        <w:adjustRightInd w:val="0"/>
        <w:spacing w:line="360" w:lineRule="exact"/>
        <w:ind w:firstLine="411" w:firstLineChars="196"/>
        <w:rPr>
          <w:rFonts w:hAnsi="宋体" w:cs="宋体"/>
        </w:rPr>
      </w:pPr>
      <w:r>
        <w:t>对于中小企业，若以上条件均不具备，如果锅炉的功率在</w:t>
      </w:r>
      <w:r>
        <w:rPr>
          <w:rFonts w:hint="eastAsia" w:hAnsi="宋体" w:cs="宋体"/>
        </w:rPr>
        <w:t>0.7兆瓦左右，1吨/小时的热水或蒸汽按相当于60万千卡的热力计算。</w:t>
      </w:r>
    </w:p>
    <w:p>
      <w:pPr>
        <w:pStyle w:val="10"/>
        <w:adjustRightInd w:val="0"/>
        <w:spacing w:line="360" w:lineRule="exact"/>
        <w:ind w:firstLine="411" w:firstLineChars="196"/>
        <w:rPr>
          <w:rFonts w:hAnsi="宋体" w:cs="宋体"/>
          <w:kern w:val="0"/>
        </w:rPr>
      </w:pPr>
      <w:r>
        <w:rPr>
          <w:rFonts w:ascii="Times New Roman" w:hAnsi="Times New Roman" w:eastAsia="黑体"/>
        </w:rPr>
        <w:t>太阳能供热</w:t>
      </w:r>
      <w:r>
        <w:rPr>
          <w:rFonts w:eastAsia="黑体"/>
          <w:bCs/>
        </w:rPr>
        <w:t xml:space="preserve">  </w:t>
      </w:r>
      <w:r>
        <w:rPr>
          <w:rFonts w:hint="eastAsia" w:hAnsi="宋体" w:cs="宋体"/>
          <w:kern w:val="0"/>
        </w:rPr>
        <w:t>指利用太阳能集热装置收集太阳辐射并转化为热能进行供热。</w:t>
      </w:r>
    </w:p>
    <w:p>
      <w:pPr>
        <w:pStyle w:val="10"/>
        <w:adjustRightInd w:val="0"/>
        <w:spacing w:line="360" w:lineRule="exact"/>
        <w:ind w:firstLine="411" w:firstLineChars="196"/>
        <w:rPr>
          <w:rFonts w:hAnsi="宋体" w:cs="宋体"/>
          <w:kern w:val="0"/>
        </w:rPr>
      </w:pPr>
      <w:r>
        <w:rPr>
          <w:rFonts w:ascii="Times New Roman" w:hAnsi="Times New Roman" w:eastAsia="黑体"/>
        </w:rPr>
        <w:t>生物质能供热</w:t>
      </w:r>
      <w:r>
        <w:rPr>
          <w:rFonts w:eastAsia="黑体"/>
          <w:bCs/>
        </w:rPr>
        <w:t xml:space="preserve">  </w:t>
      </w:r>
      <w:r>
        <w:rPr>
          <w:rFonts w:hint="eastAsia" w:hAnsi="宋体" w:cs="宋体"/>
          <w:kern w:val="0"/>
        </w:rPr>
        <w:t>指利用生物质</w:t>
      </w:r>
      <w:r>
        <w:rPr>
          <w:rFonts w:hAnsi="宋体" w:cs="宋体"/>
          <w:kern w:val="0"/>
        </w:rPr>
        <w:t>成型燃料</w:t>
      </w:r>
      <w:r>
        <w:rPr>
          <w:rFonts w:hint="eastAsia" w:hAnsi="宋体" w:cs="宋体"/>
          <w:kern w:val="0"/>
        </w:rPr>
        <w:t>、</w:t>
      </w:r>
      <w:r>
        <w:rPr>
          <w:rFonts w:hAnsi="宋体" w:cs="宋体"/>
          <w:kern w:val="0"/>
        </w:rPr>
        <w:t>生物质液体燃料等燃烧</w:t>
      </w:r>
      <w:r>
        <w:rPr>
          <w:rFonts w:hint="eastAsia" w:hAnsi="宋体" w:cs="宋体"/>
          <w:kern w:val="0"/>
        </w:rPr>
        <w:t>时</w:t>
      </w:r>
      <w:r>
        <w:rPr>
          <w:rFonts w:hAnsi="宋体" w:cs="宋体"/>
          <w:kern w:val="0"/>
        </w:rPr>
        <w:t>产生的热能进行供热。</w:t>
      </w:r>
    </w:p>
    <w:p>
      <w:pPr>
        <w:pStyle w:val="10"/>
        <w:adjustRightInd w:val="0"/>
        <w:spacing w:line="360" w:lineRule="exact"/>
        <w:ind w:firstLine="411" w:firstLineChars="196"/>
        <w:rPr>
          <w:rFonts w:hAnsi="宋体" w:cs="宋体"/>
          <w:kern w:val="0"/>
        </w:rPr>
      </w:pPr>
      <w:r>
        <w:rPr>
          <w:rFonts w:ascii="Times New Roman" w:hAnsi="Times New Roman" w:eastAsia="黑体"/>
        </w:rPr>
        <w:t>地热能供热</w:t>
      </w:r>
      <w:r>
        <w:rPr>
          <w:rFonts w:eastAsia="黑体"/>
          <w:bCs/>
        </w:rPr>
        <w:t xml:space="preserve">  </w:t>
      </w:r>
      <w:r>
        <w:rPr>
          <w:rFonts w:hAnsi="宋体" w:cs="宋体"/>
          <w:kern w:val="0"/>
        </w:rPr>
        <w:t>指利用</w:t>
      </w:r>
      <w:r>
        <w:fldChar w:fldCharType="begin"/>
      </w:r>
      <w:r>
        <w:instrText xml:space="preserve"> HYPERLINK "https://baike.baidu.com/item/%E5%9C%B0%E7%83%AD%E8%83%BD" \t "_blank" </w:instrText>
      </w:r>
      <w:r>
        <w:fldChar w:fldCharType="separate"/>
      </w:r>
      <w:r>
        <w:rPr>
          <w:rFonts w:hAnsi="宋体" w:cs="宋体"/>
          <w:kern w:val="0"/>
        </w:rPr>
        <w:t>地热能</w:t>
      </w:r>
      <w:r>
        <w:rPr>
          <w:rFonts w:hAnsi="宋体" w:cs="宋体"/>
          <w:kern w:val="0"/>
        </w:rPr>
        <w:fldChar w:fldCharType="end"/>
      </w:r>
      <w:r>
        <w:rPr>
          <w:rFonts w:hAnsi="宋体" w:cs="宋体"/>
          <w:kern w:val="0"/>
        </w:rPr>
        <w:t>为主要热源</w:t>
      </w:r>
      <w:r>
        <w:rPr>
          <w:rFonts w:hint="eastAsia" w:hAnsi="宋体" w:cs="宋体"/>
          <w:kern w:val="0"/>
        </w:rPr>
        <w:t>进行</w:t>
      </w:r>
      <w:r>
        <w:rPr>
          <w:rFonts w:hAnsi="宋体" w:cs="宋体"/>
          <w:kern w:val="0"/>
        </w:rPr>
        <w:t>供热</w:t>
      </w:r>
      <w:r>
        <w:rPr>
          <w:rFonts w:hint="eastAsia" w:hAnsi="宋体" w:cs="宋体"/>
          <w:kern w:val="0"/>
        </w:rPr>
        <w:t>。地热供热系统按照地热流进入供热系统的方式可分为直接供热和间接供热。直接供热即把地热流直接引入供热系统，间接供热即地热流通过换热器将热能传递给供热系统的循环水，地热流不直接进入供热系统。</w:t>
      </w:r>
      <w:r>
        <w:rPr>
          <w:rFonts w:hAnsi="宋体" w:cs="宋体"/>
          <w:kern w:val="0"/>
        </w:rPr>
        <w:t>热量通常以热水或蒸汽的形式提取出来。</w:t>
      </w:r>
    </w:p>
    <w:p>
      <w:pPr>
        <w:pStyle w:val="10"/>
        <w:adjustRightInd w:val="0"/>
        <w:spacing w:line="360" w:lineRule="exact"/>
        <w:ind w:firstLine="411" w:firstLineChars="196"/>
        <w:rPr>
          <w:rFonts w:hAnsi="宋体" w:cs="宋体"/>
          <w:kern w:val="0"/>
        </w:rPr>
      </w:pPr>
      <w:r>
        <w:rPr>
          <w:rFonts w:ascii="Times New Roman" w:hAnsi="Times New Roman" w:eastAsia="黑体"/>
        </w:rPr>
        <w:t>化石燃料供热</w:t>
      </w:r>
      <w:r>
        <w:rPr>
          <w:rFonts w:eastAsia="黑体"/>
          <w:bCs/>
        </w:rPr>
        <w:t xml:space="preserve">  </w:t>
      </w:r>
      <w:r>
        <w:rPr>
          <w:rFonts w:hint="eastAsia" w:hAnsi="宋体" w:cs="宋体"/>
          <w:kern w:val="0"/>
        </w:rPr>
        <w:t>指利用</w:t>
      </w:r>
      <w:r>
        <w:rPr>
          <w:rFonts w:hAnsi="宋体" w:cs="宋体"/>
          <w:kern w:val="0"/>
        </w:rPr>
        <w:t>煤炭、</w:t>
      </w:r>
      <w:r>
        <w:rPr>
          <w:rFonts w:hint="eastAsia" w:hAnsi="宋体" w:cs="宋体"/>
          <w:kern w:val="0"/>
        </w:rPr>
        <w:t>燃油</w:t>
      </w:r>
      <w:r>
        <w:rPr>
          <w:rFonts w:hAnsi="宋体" w:cs="宋体"/>
          <w:kern w:val="0"/>
        </w:rPr>
        <w:t>、燃气等化石燃料燃烧</w:t>
      </w:r>
      <w:r>
        <w:rPr>
          <w:rFonts w:hint="eastAsia" w:hAnsi="宋体" w:cs="宋体"/>
          <w:kern w:val="0"/>
        </w:rPr>
        <w:t>时</w:t>
      </w:r>
      <w:r>
        <w:rPr>
          <w:rFonts w:hAnsi="宋体" w:cs="宋体"/>
          <w:kern w:val="0"/>
        </w:rPr>
        <w:t>产生的热能进行供热。</w:t>
      </w:r>
    </w:p>
    <w:p>
      <w:pPr>
        <w:pStyle w:val="10"/>
        <w:adjustRightInd w:val="0"/>
        <w:spacing w:line="360" w:lineRule="exact"/>
        <w:ind w:firstLine="411" w:firstLineChars="196"/>
        <w:rPr>
          <w:rFonts w:hAnsi="宋体" w:cs="宋体"/>
          <w:kern w:val="0"/>
        </w:rPr>
      </w:pPr>
      <w:r>
        <w:rPr>
          <w:rFonts w:ascii="Times New Roman" w:hAnsi="Times New Roman" w:eastAsia="黑体"/>
        </w:rPr>
        <w:t>废料燃烧供热</w:t>
      </w:r>
      <w:r>
        <w:rPr>
          <w:rFonts w:eastAsia="黑体"/>
          <w:bCs/>
        </w:rPr>
        <w:t xml:space="preserve">  </w:t>
      </w:r>
      <w:r>
        <w:rPr>
          <w:rFonts w:hint="eastAsia" w:hAnsi="宋体" w:cs="宋体"/>
          <w:kern w:val="0"/>
        </w:rPr>
        <w:t>指利用工业废料等</w:t>
      </w:r>
      <w:r>
        <w:rPr>
          <w:rFonts w:hAnsi="宋体" w:cs="宋体"/>
          <w:kern w:val="0"/>
        </w:rPr>
        <w:t>燃烧</w:t>
      </w:r>
      <w:r>
        <w:rPr>
          <w:rFonts w:hint="eastAsia" w:hAnsi="宋体" w:cs="宋体"/>
          <w:kern w:val="0"/>
        </w:rPr>
        <w:t>时</w:t>
      </w:r>
      <w:r>
        <w:rPr>
          <w:rFonts w:hAnsi="宋体" w:cs="宋体"/>
          <w:kern w:val="0"/>
        </w:rPr>
        <w:t>产生的热能进行供热。</w:t>
      </w:r>
    </w:p>
    <w:p>
      <w:pPr>
        <w:pStyle w:val="10"/>
        <w:adjustRightInd w:val="0"/>
        <w:spacing w:line="360" w:lineRule="exact"/>
        <w:ind w:firstLine="411" w:firstLineChars="196"/>
        <w:rPr>
          <w:rFonts w:hAnsi="宋体" w:cs="宋体"/>
          <w:kern w:val="0"/>
        </w:rPr>
      </w:pPr>
      <w:r>
        <w:rPr>
          <w:rFonts w:ascii="Times New Roman" w:hAnsi="Times New Roman" w:eastAsia="黑体"/>
        </w:rPr>
        <w:t>电热锅炉供热</w:t>
      </w:r>
      <w:r>
        <w:rPr>
          <w:rFonts w:eastAsia="黑体"/>
          <w:bCs/>
        </w:rPr>
        <w:t xml:space="preserve">  </w:t>
      </w:r>
      <w:r>
        <w:rPr>
          <w:rFonts w:hint="eastAsia" w:hAnsi="宋体" w:cs="宋体"/>
          <w:kern w:val="0"/>
        </w:rPr>
        <w:t>指</w:t>
      </w:r>
      <w:r>
        <w:rPr>
          <w:rFonts w:hAnsi="宋体" w:cs="宋体"/>
          <w:kern w:val="0"/>
        </w:rPr>
        <w:t>以电力</w:t>
      </w:r>
      <w:r>
        <w:rPr>
          <w:rFonts w:hint="eastAsia" w:hAnsi="宋体" w:cs="宋体"/>
          <w:kern w:val="0"/>
        </w:rPr>
        <w:t>为</w:t>
      </w:r>
      <w:r>
        <w:rPr>
          <w:rFonts w:hAnsi="宋体" w:cs="宋体"/>
          <w:kern w:val="0"/>
        </w:rPr>
        <w:t>能源并将其转化为</w:t>
      </w:r>
      <w:r>
        <w:rPr>
          <w:rFonts w:hint="eastAsia" w:hAnsi="宋体" w:cs="宋体"/>
          <w:kern w:val="0"/>
        </w:rPr>
        <w:t>热能进行供热。</w:t>
      </w:r>
    </w:p>
    <w:p>
      <w:pPr>
        <w:pStyle w:val="10"/>
        <w:adjustRightInd w:val="0"/>
        <w:spacing w:line="360" w:lineRule="exact"/>
        <w:ind w:firstLine="411" w:firstLineChars="196"/>
        <w:rPr>
          <w:rFonts w:hAnsi="宋体" w:cs="宋体"/>
          <w:kern w:val="0"/>
        </w:rPr>
      </w:pPr>
      <w:r>
        <w:rPr>
          <w:rFonts w:ascii="Times New Roman" w:hAnsi="Times New Roman" w:eastAsia="黑体"/>
        </w:rPr>
        <w:t>热泵供热</w:t>
      </w:r>
      <w:r>
        <w:rPr>
          <w:rFonts w:eastAsia="黑体"/>
          <w:bCs/>
        </w:rPr>
        <w:t xml:space="preserve">  </w:t>
      </w:r>
      <w:r>
        <w:rPr>
          <w:rFonts w:hint="eastAsia" w:hAnsi="宋体" w:cs="宋体"/>
          <w:kern w:val="0"/>
        </w:rPr>
        <w:t>指通过</w:t>
      </w:r>
      <w:r>
        <w:rPr>
          <w:rFonts w:hAnsi="宋体" w:cs="宋体"/>
          <w:kern w:val="0"/>
        </w:rPr>
        <w:t>将低温热源的热能转移到高温热源的装置来实现</w:t>
      </w:r>
      <w:r>
        <w:rPr>
          <w:rFonts w:hint="eastAsia" w:hAnsi="宋体" w:cs="宋体"/>
          <w:kern w:val="0"/>
        </w:rPr>
        <w:t>供热。包括</w:t>
      </w:r>
      <w:r>
        <w:rPr>
          <w:rFonts w:hAnsi="宋体" w:cs="宋体"/>
          <w:kern w:val="0"/>
        </w:rPr>
        <w:t>地</w:t>
      </w:r>
      <w:r>
        <w:rPr>
          <w:rFonts w:hint="eastAsia" w:hAnsi="宋体" w:cs="宋体"/>
          <w:kern w:val="0"/>
        </w:rPr>
        <w:t>源、</w:t>
      </w:r>
      <w:r>
        <w:rPr>
          <w:rFonts w:hAnsi="宋体" w:cs="宋体"/>
          <w:kern w:val="0"/>
        </w:rPr>
        <w:t>空气</w:t>
      </w:r>
      <w:r>
        <w:rPr>
          <w:rFonts w:hint="eastAsia" w:hAnsi="宋体" w:cs="宋体"/>
          <w:kern w:val="0"/>
        </w:rPr>
        <w:t>源</w:t>
      </w:r>
      <w:r>
        <w:rPr>
          <w:rFonts w:hAnsi="宋体" w:cs="宋体"/>
          <w:kern w:val="0"/>
        </w:rPr>
        <w:t>、水</w:t>
      </w:r>
      <w:r>
        <w:rPr>
          <w:rFonts w:hint="eastAsia" w:hAnsi="宋体" w:cs="宋体"/>
          <w:kern w:val="0"/>
        </w:rPr>
        <w:t>源</w:t>
      </w:r>
      <w:r>
        <w:rPr>
          <w:rFonts w:hAnsi="宋体" w:cs="宋体"/>
          <w:kern w:val="0"/>
        </w:rPr>
        <w:t>热泵等</w:t>
      </w:r>
      <w:r>
        <w:rPr>
          <w:rFonts w:hint="eastAsia" w:hAnsi="宋体" w:cs="宋体"/>
          <w:kern w:val="0"/>
        </w:rPr>
        <w:t>。</w:t>
      </w:r>
    </w:p>
    <w:p>
      <w:pPr>
        <w:pStyle w:val="10"/>
        <w:adjustRightInd w:val="0"/>
        <w:spacing w:line="360" w:lineRule="exact"/>
        <w:ind w:firstLine="411" w:firstLineChars="196"/>
        <w:rPr>
          <w:rFonts w:hAnsi="宋体" w:cs="宋体"/>
          <w:kern w:val="0"/>
        </w:rPr>
      </w:pPr>
      <w:r>
        <w:rPr>
          <w:rFonts w:ascii="Times New Roman" w:hAnsi="Times New Roman" w:eastAsia="黑体"/>
        </w:rPr>
        <w:t>余热余压供热</w:t>
      </w:r>
      <w:r>
        <w:rPr>
          <w:rFonts w:eastAsia="黑体"/>
          <w:bCs/>
        </w:rPr>
        <w:t xml:space="preserve">  </w:t>
      </w:r>
      <w:r>
        <w:rPr>
          <w:rFonts w:hint="eastAsia" w:hAnsi="宋体" w:cs="宋体"/>
          <w:kern w:val="0"/>
        </w:rPr>
        <w:t>指对</w:t>
      </w:r>
      <w:r>
        <w:rPr>
          <w:rFonts w:hAnsi="宋体" w:cs="宋体"/>
          <w:kern w:val="0"/>
        </w:rPr>
        <w:t>企业生产过程中释放出</w:t>
      </w:r>
      <w:r>
        <w:rPr>
          <w:rFonts w:hint="eastAsia" w:hAnsi="宋体" w:cs="宋体"/>
          <w:kern w:val="0"/>
        </w:rPr>
        <w:t>多余</w:t>
      </w:r>
      <w:r>
        <w:rPr>
          <w:rFonts w:hAnsi="宋体" w:cs="宋体"/>
          <w:kern w:val="0"/>
        </w:rPr>
        <w:t>的副产热能、压差能</w:t>
      </w:r>
      <w:r>
        <w:rPr>
          <w:rFonts w:hint="eastAsia" w:hAnsi="宋体" w:cs="宋体"/>
          <w:kern w:val="0"/>
        </w:rPr>
        <w:t>通过</w:t>
      </w:r>
      <w:r>
        <w:rPr>
          <w:rFonts w:hAnsi="宋体" w:cs="宋体"/>
          <w:kern w:val="0"/>
        </w:rPr>
        <w:t>热</w:t>
      </w:r>
      <w:r>
        <w:rPr>
          <w:rFonts w:hint="eastAsia" w:hAnsi="宋体" w:cs="宋体"/>
          <w:kern w:val="0"/>
        </w:rPr>
        <w:t>交换</w:t>
      </w:r>
      <w:r>
        <w:rPr>
          <w:rFonts w:hAnsi="宋体" w:cs="宋体"/>
          <w:kern w:val="0"/>
        </w:rPr>
        <w:t>等方式进行供热</w:t>
      </w:r>
      <w:r>
        <w:rPr>
          <w:rFonts w:hint="eastAsia" w:hAnsi="宋体" w:cs="宋体"/>
          <w:kern w:val="0"/>
        </w:rPr>
        <w:t>。</w:t>
      </w:r>
    </w:p>
    <w:p>
      <w:pPr>
        <w:pStyle w:val="10"/>
        <w:adjustRightInd w:val="0"/>
        <w:spacing w:line="360" w:lineRule="exact"/>
        <w:ind w:firstLine="411" w:firstLineChars="196"/>
        <w:rPr>
          <w:rFonts w:hAnsi="宋体" w:cs="宋体"/>
          <w:kern w:val="0"/>
        </w:rPr>
      </w:pPr>
      <w:r>
        <w:rPr>
          <w:rFonts w:ascii="Times New Roman" w:hAnsi="Times New Roman" w:eastAsia="黑体"/>
        </w:rPr>
        <w:t>其他能源供热</w:t>
      </w:r>
      <w:r>
        <w:rPr>
          <w:rFonts w:eastAsia="黑体"/>
          <w:bCs/>
        </w:rPr>
        <w:t xml:space="preserve">  </w:t>
      </w:r>
      <w:r>
        <w:rPr>
          <w:rFonts w:hint="eastAsia" w:hAnsi="宋体" w:cs="宋体"/>
          <w:kern w:val="0"/>
        </w:rPr>
        <w:t>指</w:t>
      </w:r>
      <w:r>
        <w:rPr>
          <w:rFonts w:hAnsi="宋体" w:cs="宋体"/>
          <w:kern w:val="0"/>
        </w:rPr>
        <w:t>不属于上述各类的供热方式。</w:t>
      </w: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rPr>
          <w:rFonts w:hAnsi="宋体" w:cs="宋体"/>
          <w:kern w:val="0"/>
        </w:rPr>
      </w:pPr>
    </w:p>
    <w:p>
      <w:pPr>
        <w:pStyle w:val="10"/>
        <w:adjustRightInd w:val="0"/>
        <w:spacing w:line="360" w:lineRule="exact"/>
        <w:ind w:firstLine="411" w:firstLineChars="196"/>
      </w:pPr>
    </w:p>
    <w:p>
      <w:pPr>
        <w:pStyle w:val="10"/>
        <w:adjustRightInd w:val="0"/>
        <w:spacing w:line="20" w:lineRule="exact"/>
        <w:ind w:firstLine="411" w:firstLineChars="196"/>
      </w:pPr>
    </w:p>
    <w:p>
      <w:pPr>
        <w:pStyle w:val="10"/>
        <w:adjustRightInd w:val="0"/>
        <w:spacing w:line="20" w:lineRule="exact"/>
        <w:ind w:firstLine="411" w:firstLineChars="196"/>
      </w:pPr>
    </w:p>
    <w:p>
      <w:pPr>
        <w:pStyle w:val="10"/>
        <w:adjustRightInd w:val="0"/>
        <w:spacing w:line="20" w:lineRule="exact"/>
        <w:ind w:firstLine="411" w:firstLineChars="196"/>
      </w:pPr>
    </w:p>
    <w:p>
      <w:pPr>
        <w:pStyle w:val="10"/>
        <w:adjustRightInd w:val="0"/>
        <w:spacing w:line="20" w:lineRule="exact"/>
        <w:ind w:firstLine="411" w:firstLineChars="196"/>
      </w:pPr>
    </w:p>
    <w:p>
      <w:pPr>
        <w:pStyle w:val="10"/>
        <w:adjustRightInd w:val="0"/>
        <w:spacing w:line="20" w:lineRule="exact"/>
        <w:ind w:firstLine="411" w:firstLineChars="196"/>
      </w:pPr>
    </w:p>
    <w:p>
      <w:pPr>
        <w:pStyle w:val="10"/>
        <w:adjustRightInd w:val="0"/>
        <w:spacing w:line="20" w:lineRule="exact"/>
        <w:ind w:firstLine="411" w:firstLineChars="196"/>
      </w:pPr>
    </w:p>
    <w:p>
      <w:pPr>
        <w:pStyle w:val="10"/>
        <w:adjustRightInd w:val="0"/>
        <w:spacing w:line="20" w:lineRule="exact"/>
        <w:ind w:firstLine="411" w:firstLineChars="196"/>
      </w:pPr>
    </w:p>
    <w:p>
      <w:pPr>
        <w:pStyle w:val="10"/>
        <w:adjustRightInd w:val="0"/>
        <w:spacing w:line="20" w:lineRule="exact"/>
        <w:ind w:firstLine="411" w:firstLineChars="196"/>
      </w:pPr>
    </w:p>
    <w:p>
      <w:pPr>
        <w:pStyle w:val="2"/>
        <w:snapToGrid w:val="0"/>
        <w:spacing w:beforeLines="100" w:afterLines="100" w:line="240" w:lineRule="auto"/>
        <w:jc w:val="center"/>
        <w:rPr>
          <w:rFonts w:eastAsia="黑体"/>
          <w:b w:val="0"/>
          <w:sz w:val="32"/>
          <w:szCs w:val="32"/>
        </w:rPr>
      </w:pPr>
      <w:r>
        <w:rPr>
          <w:rFonts w:eastAsia="黑体"/>
          <w:b w:val="0"/>
          <w:sz w:val="32"/>
          <w:szCs w:val="32"/>
        </w:rPr>
        <w:t>六、附    录</w:t>
      </w:r>
    </w:p>
    <w:p>
      <w:pPr>
        <w:snapToGrid w:val="0"/>
        <w:spacing w:beforeLines="50" w:afterLines="50"/>
        <w:jc w:val="center"/>
        <w:outlineLvl w:val="1"/>
        <w:rPr>
          <w:rFonts w:eastAsia="黑体"/>
          <w:sz w:val="28"/>
          <w:szCs w:val="28"/>
        </w:rPr>
      </w:pPr>
      <w:r>
        <w:rPr>
          <w:rFonts w:eastAsia="黑体"/>
          <w:sz w:val="28"/>
          <w:szCs w:val="28"/>
        </w:rPr>
        <w:t>（一）各种能源折标准煤参考系数</w:t>
      </w:r>
    </w:p>
    <w:tbl>
      <w:tblPr>
        <w:tblStyle w:val="25"/>
        <w:tblW w:w="9425" w:type="dxa"/>
        <w:tblInd w:w="9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060"/>
        <w:gridCol w:w="3045"/>
        <w:gridCol w:w="332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3060" w:type="dxa"/>
            <w:tcBorders>
              <w:bottom w:val="single" w:color="auto" w:sz="2" w:space="0"/>
            </w:tcBorders>
            <w:vAlign w:val="center"/>
          </w:tcPr>
          <w:p>
            <w:pPr>
              <w:widowControl/>
              <w:jc w:val="center"/>
              <w:rPr>
                <w:kern w:val="0"/>
                <w:sz w:val="18"/>
                <w:szCs w:val="18"/>
              </w:rPr>
            </w:pPr>
            <w:r>
              <w:rPr>
                <w:kern w:val="0"/>
                <w:sz w:val="18"/>
                <w:szCs w:val="18"/>
              </w:rPr>
              <w:t>能源名称</w:t>
            </w:r>
          </w:p>
        </w:tc>
        <w:tc>
          <w:tcPr>
            <w:tcW w:w="3045" w:type="dxa"/>
            <w:tcBorders>
              <w:bottom w:val="single" w:color="auto" w:sz="2" w:space="0"/>
            </w:tcBorders>
            <w:vAlign w:val="center"/>
          </w:tcPr>
          <w:p>
            <w:pPr>
              <w:widowControl/>
              <w:jc w:val="center"/>
              <w:rPr>
                <w:kern w:val="0"/>
                <w:sz w:val="18"/>
                <w:szCs w:val="18"/>
              </w:rPr>
            </w:pPr>
            <w:r>
              <w:rPr>
                <w:kern w:val="0"/>
                <w:sz w:val="18"/>
                <w:szCs w:val="18"/>
              </w:rPr>
              <w:t>平均低位发热量</w:t>
            </w:r>
          </w:p>
        </w:tc>
        <w:tc>
          <w:tcPr>
            <w:tcW w:w="3320" w:type="dxa"/>
            <w:tcBorders>
              <w:bottom w:val="single" w:color="auto" w:sz="2" w:space="0"/>
            </w:tcBorders>
            <w:vAlign w:val="center"/>
          </w:tcPr>
          <w:p>
            <w:pPr>
              <w:widowControl/>
              <w:jc w:val="center"/>
              <w:rPr>
                <w:kern w:val="0"/>
                <w:sz w:val="18"/>
                <w:szCs w:val="18"/>
              </w:rPr>
            </w:pPr>
            <w:r>
              <w:rPr>
                <w:kern w:val="0"/>
                <w:sz w:val="18"/>
                <w:szCs w:val="18"/>
              </w:rPr>
              <w:t>参考折标准煤系数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single" w:color="auto" w:sz="2" w:space="0"/>
              <w:bottom w:val="nil"/>
            </w:tcBorders>
            <w:vAlign w:val="center"/>
          </w:tcPr>
          <w:p>
            <w:pPr>
              <w:widowControl/>
              <w:rPr>
                <w:kern w:val="0"/>
                <w:sz w:val="18"/>
                <w:szCs w:val="18"/>
              </w:rPr>
            </w:pPr>
            <w:r>
              <w:rPr>
                <w:kern w:val="0"/>
                <w:sz w:val="18"/>
                <w:szCs w:val="18"/>
              </w:rPr>
              <w:t>原煤</w:t>
            </w:r>
          </w:p>
        </w:tc>
        <w:tc>
          <w:tcPr>
            <w:tcW w:w="3045" w:type="dxa"/>
            <w:tcBorders>
              <w:top w:val="single" w:color="auto" w:sz="2" w:space="0"/>
              <w:bottom w:val="nil"/>
            </w:tcBorders>
            <w:vAlign w:val="center"/>
          </w:tcPr>
          <w:p>
            <w:pPr>
              <w:widowControl/>
              <w:jc w:val="center"/>
              <w:rPr>
                <w:kern w:val="0"/>
                <w:sz w:val="18"/>
                <w:szCs w:val="18"/>
              </w:rPr>
            </w:pPr>
            <w:r>
              <w:rPr>
                <w:spacing w:val="8"/>
                <w:sz w:val="18"/>
                <w:szCs w:val="18"/>
              </w:rPr>
              <w:t>－</w:t>
            </w:r>
          </w:p>
        </w:tc>
        <w:tc>
          <w:tcPr>
            <w:tcW w:w="3320" w:type="dxa"/>
            <w:tcBorders>
              <w:top w:val="single" w:color="auto" w:sz="2" w:space="0"/>
              <w:bottom w:val="nil"/>
            </w:tcBorders>
            <w:vAlign w:val="center"/>
          </w:tcPr>
          <w:p>
            <w:pPr>
              <w:widowControl/>
              <w:jc w:val="center"/>
              <w:rPr>
                <w:kern w:val="0"/>
                <w:sz w:val="18"/>
                <w:szCs w:val="18"/>
              </w:rPr>
            </w:pPr>
            <w:r>
              <w:rPr>
                <w:spacing w:val="8"/>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 xml:space="preserve">  其中：无烟煤</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约6000千卡/千克以上</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0.9428千克标准煤/千克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 xml:space="preserve">        炼焦烟煤</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约6000千卡/千克以上</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0.9千克标准煤/千克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 xml:space="preserve">        一般烟煤</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约4500-5500千卡/千克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0.7143千克标准煤/千克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 xml:space="preserve">        褐煤</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约2500-3500千卡/千克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0.4286千克标准煤/千克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洗精煤（用于炼焦）</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约6000千卡/千克以上</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0.9千克标准煤/千克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其他洗煤</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w:t>
            </w:r>
            <w:r>
              <w:rPr>
                <w:rFonts w:ascii="宋体" w:hAnsi="宋体" w:cs="宋体"/>
                <w:b w:val="0"/>
                <w:bCs w:val="0"/>
                <w:kern w:val="0"/>
                <w:sz w:val="18"/>
                <w:szCs w:val="18"/>
              </w:rPr>
              <w:t xml:space="preserve"> </w:t>
            </w:r>
            <w:r>
              <w:rPr>
                <w:rFonts w:hint="eastAsia" w:ascii="宋体" w:hAnsi="宋体" w:cs="宋体"/>
                <w:b w:val="0"/>
                <w:bCs w:val="0"/>
                <w:kern w:val="0"/>
                <w:sz w:val="18"/>
                <w:szCs w:val="18"/>
              </w:rPr>
              <w:t>2500-6000千卡/千克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0.4643-0.9千克标准煤/千克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煤制品</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约3000-5000千卡/千克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0.5286千克标准煤/千克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焦炭</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约6800千卡/千克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0.9714千克标准煤/千克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焦炉煤气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约4000-4300千卡/立方米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0.5714-0.6143千克标准煤/立方米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发生炉煤气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约1250千卡/立方米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0.1786千克标准煤/立方米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重油催化裂解煤气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约4600千卡/立方米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0.6571千克标准煤/立方米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重油热裂解煤气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约8500千卡/立方米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1.2143千克标准煤/立方米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焦炭制气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约3900千卡/立方米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0.5571千克标准煤/立方米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压力气化煤气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约3600千卡/立方米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0.5143千克标准煤/立方米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水煤气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约2500千卡/立方米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0.3571千克标准煤/立方米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天然气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约7700-9300千卡/立方米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1.10-1.33千克标准煤/立方米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液化天然气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约12300千卡/千克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1.7572千克标准煤/千克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煤层气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约7700千卡/立方米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1.11千克标准煤/立方米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原油</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约10000千卡/千克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1.4286千克标准煤/千克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汽油</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约10300千卡/千克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1.4714千克标准煤/千克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煤油</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约10300千卡/千克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1.4714千克标准煤/千克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柴油</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约10200千卡/千克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1.4571千克标准煤/千克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燃料油</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约10000千卡/千克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1.4286千克标准煤/千克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液化石油气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约12000千卡/千克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1.7143千克标准煤/千克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炼厂干气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约11000千卡/千克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1.5714千克标准煤/千克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石脑油</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约10500千卡/千克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1.5千克标准煤/千克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润滑油</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约9900千卡/千克</w:t>
            </w:r>
          </w:p>
        </w:tc>
        <w:tc>
          <w:tcPr>
            <w:tcW w:w="3320" w:type="dxa"/>
            <w:tcBorders>
              <w:top w:val="nil"/>
              <w:bottom w:val="nil"/>
            </w:tcBorders>
            <w:vAlign w:val="center"/>
          </w:tcPr>
          <w:p>
            <w:pPr>
              <w:widowControl/>
              <w:rPr>
                <w:rFonts w:ascii="宋体" w:hAnsi="宋体" w:cs="宋体"/>
                <w:kern w:val="0"/>
                <w:sz w:val="18"/>
                <w:szCs w:val="18"/>
              </w:rPr>
            </w:pPr>
            <w:r>
              <w:rPr>
                <w:rFonts w:ascii="宋体" w:hAnsi="宋体" w:cs="宋体"/>
                <w:b w:val="0"/>
                <w:bCs w:val="0"/>
                <w:kern w:val="0"/>
                <w:sz w:val="18"/>
                <w:szCs w:val="18"/>
              </w:rPr>
              <w:t xml:space="preserve">1.4143 </w:t>
            </w:r>
            <w:r>
              <w:rPr>
                <w:rFonts w:hint="eastAsia" w:ascii="宋体" w:hAnsi="宋体" w:cs="宋体"/>
                <w:b w:val="0"/>
                <w:bCs w:val="0"/>
                <w:kern w:val="0"/>
                <w:sz w:val="18"/>
                <w:szCs w:val="18"/>
              </w:rPr>
              <w:t>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石蜡</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约9550千卡/千克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1.3648千克标准煤/千克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溶剂油</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约10270千卡/千克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1.4672千克标准煤/千克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石油焦</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约7640千卡/千克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1.0918千克标准煤/千克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石油沥青</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约9310千卡/千克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1.3307千克标准煤/千克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其他石油制品</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约9800千卡/千克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kern w:val="0"/>
                <w:sz w:val="18"/>
                <w:szCs w:val="18"/>
              </w:rPr>
            </w:pPr>
            <w:r>
              <w:rPr>
                <w:kern w:val="0"/>
                <w:sz w:val="18"/>
                <w:szCs w:val="18"/>
              </w:rPr>
              <w:t>煤焦油</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约8000千卡/千克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1.1429千克标准煤/千克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single" w:color="auto" w:sz="8" w:space="0"/>
            </w:tcBorders>
            <w:vAlign w:val="center"/>
          </w:tcPr>
          <w:p>
            <w:pPr>
              <w:widowControl/>
              <w:rPr>
                <w:kern w:val="0"/>
                <w:sz w:val="18"/>
                <w:szCs w:val="18"/>
              </w:rPr>
            </w:pPr>
            <w:r>
              <w:rPr>
                <w:kern w:val="0"/>
                <w:sz w:val="18"/>
                <w:szCs w:val="18"/>
              </w:rPr>
              <w:t>粗苯</w:t>
            </w:r>
          </w:p>
        </w:tc>
        <w:tc>
          <w:tcPr>
            <w:tcW w:w="3045" w:type="dxa"/>
            <w:tcBorders>
              <w:top w:val="nil"/>
              <w:bottom w:val="single" w:color="auto" w:sz="8" w:space="0"/>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约10000千卡/千克</w:t>
            </w:r>
          </w:p>
        </w:tc>
        <w:tc>
          <w:tcPr>
            <w:tcW w:w="3320" w:type="dxa"/>
            <w:tcBorders>
              <w:top w:val="nil"/>
              <w:bottom w:val="single" w:color="auto" w:sz="8" w:space="0"/>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1.4286千克标准煤/千克</w:t>
            </w:r>
          </w:p>
        </w:tc>
      </w:tr>
    </w:tbl>
    <w:p>
      <w:pPr>
        <w:autoSpaceDE w:val="0"/>
        <w:autoSpaceDN w:val="0"/>
        <w:adjustRightInd w:val="0"/>
        <w:spacing w:line="400" w:lineRule="exact"/>
        <w:rPr>
          <w:sz w:val="30"/>
          <w:szCs w:val="30"/>
        </w:rPr>
      </w:pPr>
    </w:p>
    <w:p>
      <w:pPr>
        <w:autoSpaceDE w:val="0"/>
        <w:autoSpaceDN w:val="0"/>
        <w:adjustRightInd w:val="0"/>
        <w:spacing w:line="400" w:lineRule="exact"/>
        <w:rPr>
          <w:szCs w:val="21"/>
        </w:rPr>
      </w:pPr>
    </w:p>
    <w:tbl>
      <w:tblPr>
        <w:tblStyle w:val="25"/>
        <w:tblW w:w="9425" w:type="dxa"/>
        <w:tblInd w:w="9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060"/>
        <w:gridCol w:w="3045"/>
        <w:gridCol w:w="332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3060" w:type="dxa"/>
            <w:tcBorders>
              <w:bottom w:val="single" w:color="auto" w:sz="2" w:space="0"/>
            </w:tcBorders>
            <w:vAlign w:val="center"/>
          </w:tcPr>
          <w:p>
            <w:pPr>
              <w:widowControl/>
              <w:jc w:val="center"/>
              <w:rPr>
                <w:kern w:val="0"/>
                <w:sz w:val="18"/>
                <w:szCs w:val="18"/>
              </w:rPr>
            </w:pPr>
            <w:r>
              <w:rPr>
                <w:kern w:val="0"/>
                <w:sz w:val="18"/>
                <w:szCs w:val="18"/>
              </w:rPr>
              <w:t>能源名称</w:t>
            </w:r>
          </w:p>
        </w:tc>
        <w:tc>
          <w:tcPr>
            <w:tcW w:w="3045" w:type="dxa"/>
            <w:tcBorders>
              <w:bottom w:val="single" w:color="auto" w:sz="2" w:space="0"/>
            </w:tcBorders>
            <w:vAlign w:val="center"/>
          </w:tcPr>
          <w:p>
            <w:pPr>
              <w:widowControl/>
              <w:jc w:val="center"/>
              <w:rPr>
                <w:kern w:val="0"/>
                <w:sz w:val="18"/>
                <w:szCs w:val="18"/>
              </w:rPr>
            </w:pPr>
            <w:r>
              <w:rPr>
                <w:kern w:val="0"/>
                <w:sz w:val="18"/>
                <w:szCs w:val="18"/>
              </w:rPr>
              <w:t>平均低位发热量</w:t>
            </w:r>
          </w:p>
        </w:tc>
        <w:tc>
          <w:tcPr>
            <w:tcW w:w="3320" w:type="dxa"/>
            <w:tcBorders>
              <w:bottom w:val="single" w:color="auto" w:sz="2" w:space="0"/>
            </w:tcBorders>
            <w:vAlign w:val="center"/>
          </w:tcPr>
          <w:p>
            <w:pPr>
              <w:widowControl/>
              <w:jc w:val="center"/>
              <w:rPr>
                <w:kern w:val="0"/>
                <w:sz w:val="18"/>
                <w:szCs w:val="18"/>
              </w:rPr>
            </w:pPr>
            <w:r>
              <w:rPr>
                <w:kern w:val="0"/>
                <w:sz w:val="18"/>
                <w:szCs w:val="18"/>
              </w:rPr>
              <w:t>参考折标准煤系数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single" w:color="auto" w:sz="2" w:space="0"/>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热力（当量)</w:t>
            </w:r>
          </w:p>
        </w:tc>
        <w:tc>
          <w:tcPr>
            <w:tcW w:w="3045" w:type="dxa"/>
            <w:tcBorders>
              <w:top w:val="single" w:color="auto" w:sz="2" w:space="0"/>
              <w:bottom w:val="nil"/>
            </w:tcBorders>
            <w:vAlign w:val="center"/>
          </w:tcPr>
          <w:p>
            <w:pPr>
              <w:widowControl/>
              <w:jc w:val="center"/>
              <w:rPr>
                <w:rFonts w:ascii="宋体" w:hAnsi="宋体" w:cs="宋体"/>
                <w:kern w:val="0"/>
                <w:sz w:val="18"/>
                <w:szCs w:val="18"/>
              </w:rPr>
            </w:pPr>
            <w:r>
              <w:rPr>
                <w:rFonts w:hint="eastAsia" w:ascii="宋体" w:hAnsi="宋体" w:cs="宋体"/>
                <w:b w:val="0"/>
                <w:bCs w:val="0"/>
                <w:spacing w:val="8"/>
                <w:kern w:val="2"/>
                <w:sz w:val="18"/>
                <w:szCs w:val="18"/>
              </w:rPr>
              <w:t>－</w:t>
            </w:r>
          </w:p>
        </w:tc>
        <w:tc>
          <w:tcPr>
            <w:tcW w:w="3320" w:type="dxa"/>
            <w:tcBorders>
              <w:top w:val="single" w:color="auto" w:sz="2" w:space="0"/>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0.0341千克标准煤/百万焦耳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电力（当量)</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860千卡/千瓦时</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0.1229千克标准煤/千瓦时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高炉煤气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约900千卡/立方米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0.1286千克标准煤/立方米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转炉煤气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约1900千卡/立方米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0.2714千克标准煤/立方米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煤矸石（用于燃料）</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约2000千卡/千克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0.2857千克标准煤/千克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城市生活垃圾（用于燃料）</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约1900千卡/千克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0.2714千克标准煤/千克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余热余压</w:t>
            </w:r>
          </w:p>
        </w:tc>
        <w:tc>
          <w:tcPr>
            <w:tcW w:w="3045" w:type="dxa"/>
            <w:tcBorders>
              <w:top w:val="nil"/>
              <w:bottom w:val="nil"/>
            </w:tcBorders>
            <w:vAlign w:val="center"/>
          </w:tcPr>
          <w:p>
            <w:pPr>
              <w:widowControl/>
              <w:jc w:val="center"/>
              <w:rPr>
                <w:rFonts w:ascii="宋体" w:hAnsi="宋体" w:cs="宋体"/>
                <w:kern w:val="0"/>
                <w:sz w:val="18"/>
                <w:szCs w:val="18"/>
              </w:rPr>
            </w:pPr>
            <w:r>
              <w:rPr>
                <w:rFonts w:hint="eastAsia" w:ascii="宋体" w:hAnsi="宋体" w:cs="宋体"/>
                <w:b w:val="0"/>
                <w:bCs w:val="0"/>
                <w:spacing w:val="8"/>
                <w:kern w:val="2"/>
                <w:sz w:val="18"/>
                <w:szCs w:val="18"/>
              </w:rPr>
              <w:t>－</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0.0341吨标准煤/百万千焦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工业废料（用于燃料）</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约3000千卡/千克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0.4285千克标准煤/千克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燃料甲醇</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约5426千卡/千克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0.7751千克标准煤/千克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生物乙醇</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约6500千卡/千克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0.9286千克标准煤/千克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highlight w:val="yellow"/>
              </w:rPr>
            </w:pPr>
            <w:r>
              <w:rPr>
                <w:rFonts w:hint="eastAsia" w:ascii="宋体" w:hAnsi="宋体" w:cs="宋体"/>
                <w:b w:val="0"/>
                <w:bCs w:val="0"/>
                <w:kern w:val="0"/>
                <w:sz w:val="18"/>
                <w:szCs w:val="18"/>
              </w:rPr>
              <w:t>生物柴油</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约10200千卡/千克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1.4571千克标准煤/千克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vMerge w:val="restart"/>
            <w:tcBorders>
              <w:top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氢气</w:t>
            </w:r>
          </w:p>
        </w:tc>
        <w:tc>
          <w:tcPr>
            <w:tcW w:w="3045" w:type="dxa"/>
            <w:vMerge w:val="restart"/>
            <w:tcBorders>
              <w:top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约142000千焦耳/千克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4.8512千克标准煤/千克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vMerge w:val="continue"/>
            <w:tcBorders>
              <w:bottom w:val="nil"/>
            </w:tcBorders>
            <w:vAlign w:val="center"/>
          </w:tcPr>
          <w:p>
            <w:pPr>
              <w:widowControl/>
              <w:rPr>
                <w:rFonts w:ascii="宋体" w:hAnsi="宋体" w:cs="宋体"/>
                <w:kern w:val="0"/>
                <w:sz w:val="18"/>
                <w:szCs w:val="18"/>
              </w:rPr>
            </w:pPr>
          </w:p>
        </w:tc>
        <w:tc>
          <w:tcPr>
            <w:tcW w:w="3045" w:type="dxa"/>
            <w:vMerge w:val="continue"/>
            <w:tcBorders>
              <w:bottom w:val="nil"/>
            </w:tcBorders>
            <w:vAlign w:val="center"/>
          </w:tcPr>
          <w:p>
            <w:pPr>
              <w:widowControl/>
              <w:rPr>
                <w:rFonts w:ascii="宋体" w:hAnsi="宋体" w:cs="宋体"/>
                <w:kern w:val="0"/>
                <w:sz w:val="18"/>
                <w:szCs w:val="18"/>
              </w:rPr>
            </w:pP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0.4361千克标准煤/立方米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沼气</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约5500—5800千卡/立方米</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0.7857-0.8286千克标准煤/立方米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蔗渣（干）</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约3500千卡/千克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0.5000千克标准煤/千克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树皮</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约2700千卡/千克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0.3857千克标准煤/千克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玉米棒</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约4600千卡/千克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0.6571千克标准煤/千克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薪柴（干）</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约3000千卡/千克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0.4286千克标准煤/千克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稻壳</w:t>
            </w:r>
          </w:p>
        </w:tc>
        <w:tc>
          <w:tcPr>
            <w:tcW w:w="3045"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约3200千卡/千克</w:t>
            </w:r>
          </w:p>
        </w:tc>
        <w:tc>
          <w:tcPr>
            <w:tcW w:w="3320" w:type="dxa"/>
            <w:tcBorders>
              <w:top w:val="nil"/>
              <w:bottom w:val="nil"/>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0.4571千克标准煤/千克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5" w:hRule="atLeast"/>
        </w:trPr>
        <w:tc>
          <w:tcPr>
            <w:tcW w:w="3060" w:type="dxa"/>
            <w:tcBorders>
              <w:top w:val="nil"/>
              <w:bottom w:val="single" w:color="auto" w:sz="8" w:space="0"/>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锯末刨花</w:t>
            </w:r>
          </w:p>
        </w:tc>
        <w:tc>
          <w:tcPr>
            <w:tcW w:w="3045" w:type="dxa"/>
            <w:tcBorders>
              <w:top w:val="nil"/>
              <w:bottom w:val="single" w:color="auto" w:sz="8" w:space="0"/>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约2700千卡/千克</w:t>
            </w:r>
          </w:p>
        </w:tc>
        <w:tc>
          <w:tcPr>
            <w:tcW w:w="3320" w:type="dxa"/>
            <w:tcBorders>
              <w:top w:val="nil"/>
              <w:bottom w:val="single" w:color="auto" w:sz="8" w:space="0"/>
            </w:tcBorders>
            <w:vAlign w:val="center"/>
          </w:tcPr>
          <w:p>
            <w:pPr>
              <w:widowControl/>
              <w:rPr>
                <w:rFonts w:ascii="宋体" w:hAnsi="宋体" w:cs="宋体"/>
                <w:kern w:val="0"/>
                <w:sz w:val="18"/>
                <w:szCs w:val="18"/>
              </w:rPr>
            </w:pPr>
            <w:r>
              <w:rPr>
                <w:rFonts w:hint="eastAsia" w:ascii="宋体" w:hAnsi="宋体" w:cs="宋体"/>
                <w:b w:val="0"/>
                <w:bCs w:val="0"/>
                <w:kern w:val="0"/>
                <w:sz w:val="18"/>
                <w:szCs w:val="18"/>
              </w:rPr>
              <w:t>0.3857千克标准煤/千克</w:t>
            </w:r>
          </w:p>
        </w:tc>
      </w:tr>
    </w:tbl>
    <w:p>
      <w:pPr>
        <w:autoSpaceDE w:val="0"/>
        <w:autoSpaceDN w:val="0"/>
        <w:adjustRightInd w:val="0"/>
        <w:spacing w:beforeLines="50" w:line="360" w:lineRule="auto"/>
        <w:jc w:val="left"/>
        <w:rPr>
          <w:sz w:val="18"/>
          <w:szCs w:val="18"/>
        </w:rPr>
      </w:pPr>
      <w:r>
        <w:rPr>
          <w:rFonts w:hint="eastAsia" w:ascii="宋体" w:hAnsi="宋体" w:cs="宋体"/>
          <w:b w:val="0"/>
          <w:bCs w:val="0"/>
          <w:kern w:val="2"/>
          <w:sz w:val="18"/>
          <w:szCs w:val="18"/>
        </w:rPr>
        <w:t>注：此表平均低位发热量用千卡表示，如需换算成千焦耳，只需乘4.1816即可。</w:t>
      </w:r>
    </w:p>
    <w:p>
      <w:pPr>
        <w:spacing w:line="360" w:lineRule="exact"/>
        <w:ind w:right="69" w:rightChars="33" w:firstLine="360" w:firstLineChars="200"/>
        <w:jc w:val="center"/>
        <w:rPr>
          <w:sz w:val="18"/>
          <w:szCs w:val="18"/>
        </w:rPr>
      </w:pPr>
    </w:p>
    <w:p>
      <w:pPr>
        <w:snapToGrid w:val="0"/>
        <w:spacing w:beforeLines="100" w:afterLines="100"/>
        <w:jc w:val="center"/>
        <w:outlineLvl w:val="1"/>
        <w:rPr>
          <w:rFonts w:eastAsia="黑体"/>
          <w:sz w:val="28"/>
          <w:szCs w:val="28"/>
        </w:rPr>
      </w:pPr>
      <w:r>
        <w:rPr>
          <w:sz w:val="30"/>
          <w:szCs w:val="30"/>
        </w:rPr>
        <w:br w:type="page"/>
      </w:r>
      <w:r>
        <w:rPr>
          <w:rFonts w:hint="eastAsia" w:eastAsia="黑体"/>
          <w:sz w:val="28"/>
          <w:szCs w:val="28"/>
        </w:rPr>
        <w:t>（二）热焓表（饱和蒸汽或过热蒸汽）</w:t>
      </w:r>
    </w:p>
    <w:p>
      <w:pPr>
        <w:rPr>
          <w:sz w:val="18"/>
          <w:szCs w:val="18"/>
        </w:rPr>
      </w:pPr>
      <w:r>
        <w:rPr>
          <w:rFonts w:ascii="宋体" w:hAnsi="宋体" w:cs="宋体"/>
          <w:b w:val="0"/>
          <w:bCs w:val="0"/>
          <w:kern w:val="2"/>
          <w:sz w:val="18"/>
          <w:szCs w:val="18"/>
        </w:rPr>
        <w:t>1.</w:t>
      </w:r>
      <w:r>
        <w:rPr>
          <w:sz w:val="18"/>
          <w:szCs w:val="18"/>
        </w:rPr>
        <w:tab/>
      </w:r>
      <w:r>
        <w:rPr>
          <w:sz w:val="18"/>
          <w:szCs w:val="18"/>
        </w:rPr>
        <w:t>饱和蒸汽压力—焓表（按压力排列）</w:t>
      </w:r>
    </w:p>
    <w:p/>
    <w:tbl>
      <w:tblPr>
        <w:tblStyle w:val="25"/>
        <w:tblW w:w="9408" w:type="dxa"/>
        <w:jc w:val="center"/>
        <w:tblInd w:w="0" w:type="dxa"/>
        <w:tblLayout w:type="fixed"/>
        <w:tblCellMar>
          <w:top w:w="0" w:type="dxa"/>
          <w:left w:w="108" w:type="dxa"/>
          <w:bottom w:w="0" w:type="dxa"/>
          <w:right w:w="108" w:type="dxa"/>
        </w:tblCellMar>
      </w:tblPr>
      <w:tblGrid>
        <w:gridCol w:w="1568"/>
        <w:gridCol w:w="1568"/>
        <w:gridCol w:w="1568"/>
        <w:gridCol w:w="1568"/>
        <w:gridCol w:w="1568"/>
        <w:gridCol w:w="1568"/>
      </w:tblGrid>
      <w:tr>
        <w:tblPrEx>
          <w:tblLayout w:type="fixed"/>
          <w:tblCellMar>
            <w:top w:w="0" w:type="dxa"/>
            <w:left w:w="108" w:type="dxa"/>
            <w:bottom w:w="0" w:type="dxa"/>
            <w:right w:w="108" w:type="dxa"/>
          </w:tblCellMar>
        </w:tblPrEx>
        <w:trPr>
          <w:cantSplit/>
          <w:trHeight w:val="753" w:hRule="atLeast"/>
          <w:jc w:val="center"/>
        </w:trPr>
        <w:tc>
          <w:tcPr>
            <w:tcW w:w="1568" w:type="dxa"/>
            <w:tcBorders>
              <w:top w:val="single" w:color="auto" w:sz="8" w:space="0"/>
              <w:bottom w:val="single" w:color="auto" w:sz="2" w:space="0"/>
              <w:right w:val="single" w:color="auto" w:sz="2" w:space="0"/>
            </w:tcBorders>
            <w:vAlign w:val="center"/>
          </w:tcPr>
          <w:p>
            <w:pPr>
              <w:widowControl/>
              <w:jc w:val="center"/>
              <w:rPr>
                <w:kern w:val="0"/>
                <w:sz w:val="18"/>
                <w:szCs w:val="18"/>
              </w:rPr>
            </w:pPr>
            <w:r>
              <w:rPr>
                <w:kern w:val="0"/>
                <w:sz w:val="18"/>
                <w:szCs w:val="18"/>
              </w:rPr>
              <w:t>压力（MPa）</w:t>
            </w:r>
          </w:p>
        </w:tc>
        <w:tc>
          <w:tcPr>
            <w:tcW w:w="1568"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温度（℃）</w:t>
            </w:r>
          </w:p>
        </w:tc>
        <w:tc>
          <w:tcPr>
            <w:tcW w:w="1568" w:type="dxa"/>
            <w:tcBorders>
              <w:top w:val="single" w:color="auto" w:sz="8" w:space="0"/>
              <w:left w:val="single" w:color="auto" w:sz="2" w:space="0"/>
              <w:bottom w:val="single" w:color="auto" w:sz="2" w:space="0"/>
              <w:right w:val="double" w:color="auto" w:sz="4" w:space="0"/>
            </w:tcBorders>
            <w:vAlign w:val="center"/>
          </w:tcPr>
          <w:p>
            <w:pPr>
              <w:widowControl/>
              <w:jc w:val="center"/>
              <w:rPr>
                <w:kern w:val="0"/>
                <w:sz w:val="18"/>
                <w:szCs w:val="18"/>
              </w:rPr>
            </w:pPr>
            <w:r>
              <w:rPr>
                <w:kern w:val="0"/>
                <w:sz w:val="18"/>
                <w:szCs w:val="18"/>
              </w:rPr>
              <w:t>焓（KJ/kg）</w:t>
            </w:r>
          </w:p>
        </w:tc>
        <w:tc>
          <w:tcPr>
            <w:tcW w:w="1568" w:type="dxa"/>
            <w:tcBorders>
              <w:top w:val="single" w:color="auto" w:sz="8" w:space="0"/>
              <w:left w:val="double" w:color="auto" w:sz="4" w:space="0"/>
              <w:bottom w:val="single" w:color="auto" w:sz="2" w:space="0"/>
              <w:right w:val="single" w:color="auto" w:sz="2" w:space="0"/>
            </w:tcBorders>
            <w:vAlign w:val="center"/>
          </w:tcPr>
          <w:p>
            <w:pPr>
              <w:jc w:val="center"/>
              <w:rPr>
                <w:kern w:val="0"/>
                <w:sz w:val="18"/>
                <w:szCs w:val="18"/>
              </w:rPr>
            </w:pPr>
            <w:r>
              <w:rPr>
                <w:kern w:val="0"/>
                <w:sz w:val="18"/>
                <w:szCs w:val="18"/>
              </w:rPr>
              <w:t>压力（MPa）</w:t>
            </w:r>
          </w:p>
        </w:tc>
        <w:tc>
          <w:tcPr>
            <w:tcW w:w="1568"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温度（℃）</w:t>
            </w:r>
          </w:p>
        </w:tc>
        <w:tc>
          <w:tcPr>
            <w:tcW w:w="1568" w:type="dxa"/>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焓（KJ/kg）</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top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w:t>
            </w:r>
          </w:p>
        </w:tc>
        <w:tc>
          <w:tcPr>
            <w:tcW w:w="1568"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6.98</w:t>
            </w:r>
          </w:p>
        </w:tc>
        <w:tc>
          <w:tcPr>
            <w:tcW w:w="1568" w:type="dxa"/>
            <w:tcBorders>
              <w:top w:val="single" w:color="auto" w:sz="2" w:space="0"/>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2513.8</w:t>
            </w:r>
          </w:p>
        </w:tc>
        <w:tc>
          <w:tcPr>
            <w:tcW w:w="1568" w:type="dxa"/>
            <w:tcBorders>
              <w:top w:val="single" w:color="auto" w:sz="2" w:space="0"/>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1.0</w:t>
            </w:r>
          </w:p>
        </w:tc>
        <w:tc>
          <w:tcPr>
            <w:tcW w:w="1568"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179.88</w:t>
            </w:r>
          </w:p>
        </w:tc>
        <w:tc>
          <w:tcPr>
            <w:tcW w:w="1568" w:type="dxa"/>
            <w:tcBorders>
              <w:top w:val="single" w:color="auto" w:sz="2" w:space="0"/>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2777.0</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0.002</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17.51</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2533.2</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1.1</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184.06</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2780.4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0.003</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24.10</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2545.2</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1.2</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187.96</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2783.4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0.004</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28.98</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2554.1</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1.3</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191.60</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2786.0</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32.90</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2561.2</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1.4</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195.04</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2788.4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0.006</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36.18</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2567.1</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1.5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198.28</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2790.4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0.007</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39.02</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2572.2</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1.6</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201.37</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2792.2</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0.008</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41.53</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2576.7</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1.4</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204.30</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2793.8</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0.009</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43.79</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2580.8</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1.5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207.10</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2795.1</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0.010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45.83</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2584.4</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1.9</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209.79</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2796.4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0.015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54.00</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2598.9</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2.0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212.37</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2797.4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0.020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60.09</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2609.6</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2.2</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217.24</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2799.1</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0.025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64.99</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2618.1</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2.4</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221.78</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2800.4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0.030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69.12</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2625.3</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2.6</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226.03</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2801.2</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0.040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75.89</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2636.8</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2.8</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230.04</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2801.7</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0.050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81.35</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2645.0</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3.0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233.84</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2801.9</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0.060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85.95</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2653.6</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3.5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242.54</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2801.3</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0.070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89.96</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2660.2</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4.0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250.33</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2799.4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0.080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93.51</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2666.0</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5.0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263.92</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2792.8</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0.090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96.71</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2671.1</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6.0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275.56</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2783.3</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0.100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99.63</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2675.7</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7.0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285.80</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2771.4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0.120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104.81</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2683.8</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8.0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294.98</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2757.5</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0.140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109.32</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2690.8</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9.0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303.31</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2741.8</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0.160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113.32</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2696.8</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10.0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310.96</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2724.4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0.180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116.93</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2702.1</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11.0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318.04</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2705.4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0.200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120.23</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2706.9</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12.0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324.64</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2684.8</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0.250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127.43</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2717.2</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13.0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330.81</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2662.4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0.300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133.54</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2725.5</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14.0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336.63</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2638.3</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0.350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138.88</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2732.5</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15.0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342.12</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2611.6</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0.400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143.62</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2738.5</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16.0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347.32</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2582.7</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0.450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147.92</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2743.8</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17.0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352.26</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2550.8</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0.500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151.85</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2748.5</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18.0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356.96</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2514.4</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0.600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158.84</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2756.4</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19.0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361.44</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2470.1</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0.700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164.96</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2762.9</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20.0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365.71</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2413.9</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0.800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170.42</w:t>
            </w:r>
          </w:p>
        </w:tc>
        <w:tc>
          <w:tcPr>
            <w:tcW w:w="1568"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2768.4</w:t>
            </w:r>
          </w:p>
        </w:tc>
        <w:tc>
          <w:tcPr>
            <w:tcW w:w="1568"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21.0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369.79</w:t>
            </w:r>
          </w:p>
        </w:tc>
        <w:tc>
          <w:tcPr>
            <w:tcW w:w="1568"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2340.2</w:t>
            </w:r>
          </w:p>
        </w:tc>
      </w:tr>
      <w:tr>
        <w:tblPrEx>
          <w:tblLayout w:type="fixed"/>
          <w:tblCellMar>
            <w:top w:w="0" w:type="dxa"/>
            <w:left w:w="108" w:type="dxa"/>
            <w:bottom w:w="0" w:type="dxa"/>
            <w:right w:w="108" w:type="dxa"/>
          </w:tblCellMar>
        </w:tblPrEx>
        <w:trPr>
          <w:cantSplit/>
          <w:trHeight w:val="315" w:hRule="atLeast"/>
          <w:jc w:val="center"/>
        </w:trPr>
        <w:tc>
          <w:tcPr>
            <w:tcW w:w="1568" w:type="dxa"/>
            <w:tcBorders>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0.900</w:t>
            </w:r>
          </w:p>
        </w:tc>
        <w:tc>
          <w:tcPr>
            <w:tcW w:w="1568" w:type="dxa"/>
            <w:tcBorders>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175.36</w:t>
            </w:r>
          </w:p>
        </w:tc>
        <w:tc>
          <w:tcPr>
            <w:tcW w:w="1568" w:type="dxa"/>
            <w:tcBorders>
              <w:left w:val="single" w:color="auto" w:sz="2" w:space="0"/>
              <w:bottom w:val="single" w:color="auto" w:sz="8"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2773.0</w:t>
            </w:r>
          </w:p>
        </w:tc>
        <w:tc>
          <w:tcPr>
            <w:tcW w:w="1568" w:type="dxa"/>
            <w:tcBorders>
              <w:left w:val="double" w:color="auto" w:sz="4" w:space="0"/>
              <w:bottom w:val="single" w:color="auto" w:sz="8"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22.0</w:t>
            </w:r>
          </w:p>
        </w:tc>
        <w:tc>
          <w:tcPr>
            <w:tcW w:w="1568" w:type="dxa"/>
            <w:tcBorders>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373.68</w:t>
            </w:r>
          </w:p>
        </w:tc>
        <w:tc>
          <w:tcPr>
            <w:tcW w:w="1568" w:type="dxa"/>
            <w:tcBorders>
              <w:left w:val="single" w:color="auto" w:sz="2" w:space="0"/>
              <w:bottom w:val="single" w:color="auto" w:sz="8"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2192.5</w:t>
            </w:r>
          </w:p>
        </w:tc>
      </w:tr>
    </w:tbl>
    <w:p>
      <w:r>
        <w:br w:type="page"/>
      </w:r>
    </w:p>
    <w:p>
      <w:pPr>
        <w:rPr>
          <w:rFonts w:ascii="宋体" w:hAnsi="宋体" w:cs="宋体"/>
          <w:sz w:val="18"/>
          <w:szCs w:val="18"/>
        </w:rPr>
      </w:pPr>
    </w:p>
    <w:p>
      <w:pPr>
        <w:rPr>
          <w:sz w:val="18"/>
          <w:szCs w:val="18"/>
        </w:rPr>
      </w:pPr>
      <w:r>
        <w:rPr>
          <w:rFonts w:ascii="宋体" w:hAnsi="宋体" w:cs="宋体"/>
          <w:b w:val="0"/>
          <w:bCs w:val="0"/>
          <w:kern w:val="2"/>
          <w:sz w:val="18"/>
          <w:szCs w:val="18"/>
        </w:rPr>
        <w:t>2.</w:t>
      </w:r>
      <w:r>
        <w:rPr>
          <w:rFonts w:ascii="宋体" w:hAnsi="宋体" w:cs="宋体"/>
          <w:b w:val="0"/>
          <w:bCs w:val="0"/>
          <w:kern w:val="2"/>
          <w:sz w:val="18"/>
          <w:szCs w:val="18"/>
        </w:rPr>
        <w:tab/>
      </w:r>
      <w:r>
        <w:rPr>
          <w:sz w:val="18"/>
          <w:szCs w:val="18"/>
        </w:rPr>
        <w:t>饱和蒸汽温度—焓表（按温度排列）</w:t>
      </w:r>
    </w:p>
    <w:p/>
    <w:tbl>
      <w:tblPr>
        <w:tblStyle w:val="25"/>
        <w:tblW w:w="9416" w:type="dxa"/>
        <w:jc w:val="center"/>
        <w:tblInd w:w="0" w:type="dxa"/>
        <w:tblLayout w:type="fixed"/>
        <w:tblCellMar>
          <w:top w:w="0" w:type="dxa"/>
          <w:left w:w="108" w:type="dxa"/>
          <w:bottom w:w="0" w:type="dxa"/>
          <w:right w:w="108" w:type="dxa"/>
        </w:tblCellMar>
      </w:tblPr>
      <w:tblGrid>
        <w:gridCol w:w="1568"/>
        <w:gridCol w:w="1568"/>
        <w:gridCol w:w="1571"/>
        <w:gridCol w:w="1569"/>
        <w:gridCol w:w="1569"/>
        <w:gridCol w:w="1571"/>
      </w:tblGrid>
      <w:tr>
        <w:tblPrEx>
          <w:tblLayout w:type="fixed"/>
          <w:tblCellMar>
            <w:top w:w="0" w:type="dxa"/>
            <w:left w:w="108" w:type="dxa"/>
            <w:bottom w:w="0" w:type="dxa"/>
            <w:right w:w="108" w:type="dxa"/>
          </w:tblCellMar>
        </w:tblPrEx>
        <w:trPr>
          <w:cantSplit/>
          <w:trHeight w:val="752" w:hRule="atLeast"/>
          <w:jc w:val="center"/>
        </w:trPr>
        <w:tc>
          <w:tcPr>
            <w:tcW w:w="1568" w:type="dxa"/>
            <w:tcBorders>
              <w:top w:val="single" w:color="auto" w:sz="8" w:space="0"/>
              <w:bottom w:val="single" w:color="auto" w:sz="2" w:space="0"/>
              <w:right w:val="single" w:color="auto" w:sz="2" w:space="0"/>
            </w:tcBorders>
            <w:vAlign w:val="center"/>
          </w:tcPr>
          <w:p>
            <w:pPr>
              <w:widowControl/>
              <w:jc w:val="center"/>
              <w:rPr>
                <w:kern w:val="0"/>
                <w:sz w:val="18"/>
                <w:szCs w:val="18"/>
              </w:rPr>
            </w:pPr>
            <w:r>
              <w:rPr>
                <w:kern w:val="0"/>
                <w:sz w:val="18"/>
                <w:szCs w:val="18"/>
              </w:rPr>
              <w:t>温度（℃）</w:t>
            </w:r>
          </w:p>
        </w:tc>
        <w:tc>
          <w:tcPr>
            <w:tcW w:w="1568"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压力（MPa）</w:t>
            </w:r>
          </w:p>
        </w:tc>
        <w:tc>
          <w:tcPr>
            <w:tcW w:w="1571" w:type="dxa"/>
            <w:tcBorders>
              <w:top w:val="single" w:color="auto" w:sz="8" w:space="0"/>
              <w:left w:val="single" w:color="auto" w:sz="2" w:space="0"/>
              <w:bottom w:val="single" w:color="auto" w:sz="2" w:space="0"/>
              <w:right w:val="double" w:color="auto" w:sz="4" w:space="0"/>
            </w:tcBorders>
            <w:vAlign w:val="center"/>
          </w:tcPr>
          <w:p>
            <w:pPr>
              <w:widowControl/>
              <w:jc w:val="center"/>
              <w:rPr>
                <w:kern w:val="0"/>
                <w:sz w:val="18"/>
                <w:szCs w:val="18"/>
              </w:rPr>
            </w:pPr>
            <w:r>
              <w:rPr>
                <w:kern w:val="0"/>
                <w:sz w:val="18"/>
                <w:szCs w:val="18"/>
              </w:rPr>
              <w:t>焓（KJ/kg）</w:t>
            </w:r>
          </w:p>
        </w:tc>
        <w:tc>
          <w:tcPr>
            <w:tcW w:w="1569" w:type="dxa"/>
            <w:tcBorders>
              <w:top w:val="single" w:color="auto" w:sz="8" w:space="0"/>
              <w:left w:val="double" w:color="auto" w:sz="4" w:space="0"/>
              <w:bottom w:val="single" w:color="auto" w:sz="2" w:space="0"/>
              <w:right w:val="single" w:color="auto" w:sz="2" w:space="0"/>
            </w:tcBorders>
            <w:vAlign w:val="center"/>
          </w:tcPr>
          <w:p>
            <w:pPr>
              <w:jc w:val="center"/>
              <w:rPr>
                <w:kern w:val="0"/>
                <w:sz w:val="18"/>
                <w:szCs w:val="18"/>
              </w:rPr>
            </w:pPr>
            <w:r>
              <w:rPr>
                <w:kern w:val="0"/>
                <w:sz w:val="18"/>
                <w:szCs w:val="18"/>
              </w:rPr>
              <w:t>温度（℃）</w:t>
            </w:r>
          </w:p>
        </w:tc>
        <w:tc>
          <w:tcPr>
            <w:tcW w:w="1569" w:type="dxa"/>
            <w:tcBorders>
              <w:top w:val="single" w:color="auto" w:sz="8"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压力（MPa）</w:t>
            </w:r>
          </w:p>
        </w:tc>
        <w:tc>
          <w:tcPr>
            <w:tcW w:w="1571" w:type="dxa"/>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焓（KJ/kg）</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top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w:t>
            </w:r>
          </w:p>
        </w:tc>
        <w:tc>
          <w:tcPr>
            <w:tcW w:w="1568"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0.000611</w:t>
            </w:r>
          </w:p>
        </w:tc>
        <w:tc>
          <w:tcPr>
            <w:tcW w:w="1571" w:type="dxa"/>
            <w:tcBorders>
              <w:top w:val="single" w:color="auto" w:sz="2" w:space="0"/>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2501.0</w:t>
            </w:r>
          </w:p>
        </w:tc>
        <w:tc>
          <w:tcPr>
            <w:tcW w:w="1569" w:type="dxa"/>
            <w:tcBorders>
              <w:top w:val="single" w:color="auto" w:sz="2" w:space="0"/>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80</w:t>
            </w:r>
          </w:p>
        </w:tc>
        <w:tc>
          <w:tcPr>
            <w:tcW w:w="1569"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0.047</w:t>
            </w:r>
          </w:p>
        </w:tc>
        <w:tc>
          <w:tcPr>
            <w:tcW w:w="1571" w:type="dxa"/>
            <w:tcBorders>
              <w:top w:val="single" w:color="auto" w:sz="2" w:space="0"/>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2643.8</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0.01</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0.000611</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2501.0</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85</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0.058</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2652.1</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0.000657</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2502.8</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90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0.070</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2660.3</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0.000705</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2504.7</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 xml:space="preserve"> 95</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0.085</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2668.4</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0.000758</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2506.5</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100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0.101</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2676.3</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0.000813</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2508.3</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110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0.143</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2691.8</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0.000872</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2510.2</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120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0.199</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2706.6</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0.000935</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2512.0</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130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0.270</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2720.7</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0.001001</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2513.9</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140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0.361</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2734.0</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0.001072</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2515.7</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150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0.476</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2746.3</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0.001147</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2517.5</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160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0.618</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2757.7</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0.001227</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2519.4</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170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0.792</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2768.0</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0.001312</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2521.2</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180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1.003</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2777.1</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0.001402</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2523.0</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190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1.255</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2784.9</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13</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0.001497</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2524.9</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200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1.555</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2791.4</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14</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0.001597</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2526.7</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210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1.908</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2796.4</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0.001704</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2528.6</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220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2.320</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2799.9</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16</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0.001817</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2530.4</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230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2.798</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2801.7</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17</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0.001936</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2532.2</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240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3.348</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2801.6</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18</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0.002063</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2534.0</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250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3.978</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2799.5</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19</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0.002196</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2535.9</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260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4.694</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2795.2</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0.002337</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2537.7</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270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5.505</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2788.3</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22</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0.002642</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2541.4</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280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6.419</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2778.6</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24</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0.002982</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2545.0</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290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7.445</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2765.4</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0.003360</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2543.6</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300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8.592</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2748.4</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0.003779</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2552.3</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310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9.870</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2726.8</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0.004242</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2555.9</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320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11.290</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2699.6</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0.005622</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2565.0</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330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12.865</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2665.5</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0.007375</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2574.0</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340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14.608</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2622.3</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0.009582</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2582.9</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350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16.537</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2566.1</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0.012335</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2591.8</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360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18.674</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2485.7</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0.015740</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2600.7</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370</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21.053</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2335.7</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60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0.019919</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2609.5</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371</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21.306</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2310.7</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65</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0.025008</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2618.2</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372</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21.562</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2280.1</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70</w:t>
            </w:r>
          </w:p>
        </w:tc>
        <w:tc>
          <w:tcPr>
            <w:tcW w:w="1568"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0.031161</w:t>
            </w:r>
          </w:p>
        </w:tc>
        <w:tc>
          <w:tcPr>
            <w:tcW w:w="1571" w:type="dxa"/>
            <w:tcBorders>
              <w:left w:val="single" w:color="auto" w:sz="2"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2626.8</w:t>
            </w:r>
          </w:p>
        </w:tc>
        <w:tc>
          <w:tcPr>
            <w:tcW w:w="1569" w:type="dxa"/>
            <w:tcBorders>
              <w:left w:val="double" w:color="auto" w:sz="4"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373</w:t>
            </w:r>
          </w:p>
        </w:tc>
        <w:tc>
          <w:tcPr>
            <w:tcW w:w="1569"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21.821</w:t>
            </w:r>
          </w:p>
        </w:tc>
        <w:tc>
          <w:tcPr>
            <w:tcW w:w="1571"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2238.3</w:t>
            </w:r>
          </w:p>
        </w:tc>
      </w:tr>
      <w:tr>
        <w:tblPrEx>
          <w:tblLayout w:type="fixed"/>
          <w:tblCellMar>
            <w:top w:w="0" w:type="dxa"/>
            <w:left w:w="108" w:type="dxa"/>
            <w:bottom w:w="0" w:type="dxa"/>
            <w:right w:w="108" w:type="dxa"/>
          </w:tblCellMar>
        </w:tblPrEx>
        <w:trPr>
          <w:cantSplit/>
          <w:trHeight w:val="330" w:hRule="atLeast"/>
          <w:jc w:val="center"/>
        </w:trPr>
        <w:tc>
          <w:tcPr>
            <w:tcW w:w="1568" w:type="dxa"/>
            <w:tcBorders>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75</w:t>
            </w:r>
          </w:p>
        </w:tc>
        <w:tc>
          <w:tcPr>
            <w:tcW w:w="1568" w:type="dxa"/>
            <w:tcBorders>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0.038548</w:t>
            </w:r>
          </w:p>
        </w:tc>
        <w:tc>
          <w:tcPr>
            <w:tcW w:w="1571" w:type="dxa"/>
            <w:tcBorders>
              <w:left w:val="single" w:color="auto" w:sz="2" w:space="0"/>
              <w:bottom w:val="single" w:color="auto" w:sz="8" w:space="0"/>
              <w:right w:val="double" w:color="auto" w:sz="4"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2635.3</w:t>
            </w:r>
          </w:p>
        </w:tc>
        <w:tc>
          <w:tcPr>
            <w:tcW w:w="1569" w:type="dxa"/>
            <w:tcBorders>
              <w:left w:val="double" w:color="auto" w:sz="4" w:space="0"/>
              <w:bottom w:val="single" w:color="auto" w:sz="8" w:space="0"/>
              <w:right w:val="single" w:color="auto" w:sz="2" w:space="0"/>
            </w:tcBorders>
            <w:vAlign w:val="center"/>
          </w:tcPr>
          <w:p>
            <w:pPr>
              <w:jc w:val="center"/>
              <w:rPr>
                <w:rFonts w:ascii="宋体" w:hAnsi="宋体" w:cs="宋体"/>
                <w:kern w:val="0"/>
                <w:sz w:val="18"/>
                <w:szCs w:val="18"/>
              </w:rPr>
            </w:pPr>
            <w:r>
              <w:rPr>
                <w:rFonts w:ascii="宋体" w:hAnsi="宋体" w:cs="宋体"/>
                <w:b w:val="0"/>
                <w:bCs w:val="0"/>
                <w:kern w:val="0"/>
                <w:sz w:val="18"/>
                <w:szCs w:val="18"/>
              </w:rPr>
              <w:t>374</w:t>
            </w:r>
          </w:p>
        </w:tc>
        <w:tc>
          <w:tcPr>
            <w:tcW w:w="1569" w:type="dxa"/>
            <w:tcBorders>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22.084</w:t>
            </w:r>
          </w:p>
        </w:tc>
        <w:tc>
          <w:tcPr>
            <w:tcW w:w="1571" w:type="dxa"/>
            <w:tcBorders>
              <w:left w:val="single" w:color="auto" w:sz="2" w:space="0"/>
              <w:bottom w:val="single" w:color="auto" w:sz="8"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2150.7</w:t>
            </w:r>
          </w:p>
        </w:tc>
      </w:tr>
    </w:tbl>
    <w:p>
      <w:r>
        <w:br w:type="page"/>
      </w:r>
    </w:p>
    <w:p>
      <w:pPr>
        <w:rPr>
          <w:rFonts w:ascii="宋体" w:hAnsi="宋体" w:cs="宋体"/>
          <w:sz w:val="18"/>
          <w:szCs w:val="18"/>
        </w:rPr>
      </w:pPr>
    </w:p>
    <w:p>
      <w:pPr>
        <w:rPr>
          <w:sz w:val="18"/>
          <w:szCs w:val="18"/>
        </w:rPr>
      </w:pPr>
      <w:r>
        <w:rPr>
          <w:rFonts w:ascii="宋体" w:hAnsi="宋体" w:cs="宋体"/>
          <w:b w:val="0"/>
          <w:bCs w:val="0"/>
          <w:kern w:val="2"/>
          <w:sz w:val="18"/>
          <w:szCs w:val="18"/>
        </w:rPr>
        <w:t>3.</w:t>
      </w:r>
      <w:r>
        <w:rPr>
          <w:rFonts w:ascii="宋体" w:hAnsi="宋体" w:cs="宋体"/>
          <w:b w:val="0"/>
          <w:bCs w:val="0"/>
          <w:kern w:val="2"/>
          <w:sz w:val="18"/>
          <w:szCs w:val="18"/>
        </w:rPr>
        <w:tab/>
      </w:r>
      <w:r>
        <w:rPr>
          <w:sz w:val="18"/>
          <w:szCs w:val="18"/>
        </w:rPr>
        <w:t>过热蒸汽温度、压力—焓表</w:t>
      </w:r>
      <w:r>
        <w:rPr>
          <w:rFonts w:hint="eastAsia" w:ascii="宋体" w:hAnsi="宋体" w:cs="宋体"/>
          <w:b w:val="0"/>
          <w:bCs w:val="0"/>
          <w:kern w:val="2"/>
          <w:sz w:val="18"/>
          <w:szCs w:val="18"/>
        </w:rPr>
        <w:t>(一)</w:t>
      </w:r>
    </w:p>
    <w:p>
      <w:pPr>
        <w:ind w:firstLine="8460" w:firstLineChars="4700"/>
        <w:rPr>
          <w:sz w:val="18"/>
          <w:szCs w:val="18"/>
        </w:rPr>
      </w:pPr>
      <w:r>
        <w:rPr>
          <w:kern w:val="0"/>
          <w:sz w:val="18"/>
          <w:szCs w:val="18"/>
        </w:rPr>
        <w:t>焓（KJ/kg）</w:t>
      </w:r>
    </w:p>
    <w:tbl>
      <w:tblPr>
        <w:tblStyle w:val="25"/>
        <w:tblW w:w="9435" w:type="dxa"/>
        <w:jc w:val="center"/>
        <w:tblInd w:w="0" w:type="dxa"/>
        <w:tblLayout w:type="fixed"/>
        <w:tblCellMar>
          <w:top w:w="0" w:type="dxa"/>
          <w:left w:w="108" w:type="dxa"/>
          <w:bottom w:w="0" w:type="dxa"/>
          <w:right w:w="108" w:type="dxa"/>
        </w:tblCellMar>
      </w:tblPr>
      <w:tblGrid>
        <w:gridCol w:w="1180"/>
        <w:gridCol w:w="1375"/>
        <w:gridCol w:w="1376"/>
        <w:gridCol w:w="1376"/>
        <w:gridCol w:w="1376"/>
        <w:gridCol w:w="1376"/>
        <w:gridCol w:w="1376"/>
      </w:tblGrid>
      <w:tr>
        <w:tblPrEx>
          <w:tblLayout w:type="fixed"/>
          <w:tblCellMar>
            <w:top w:w="0" w:type="dxa"/>
            <w:left w:w="108" w:type="dxa"/>
            <w:bottom w:w="0" w:type="dxa"/>
            <w:right w:w="108" w:type="dxa"/>
          </w:tblCellMar>
        </w:tblPrEx>
        <w:trPr>
          <w:trHeight w:val="297" w:hRule="atLeast"/>
          <w:jc w:val="center"/>
        </w:trPr>
        <w:tc>
          <w:tcPr>
            <w:tcW w:w="1180" w:type="dxa"/>
            <w:vMerge w:val="restart"/>
            <w:tcBorders>
              <w:top w:val="single" w:color="auto" w:sz="8" w:space="0"/>
              <w:bottom w:val="single" w:color="auto" w:sz="4" w:space="0"/>
              <w:right w:val="single" w:color="auto" w:sz="2" w:space="0"/>
            </w:tcBorders>
            <w:vAlign w:val="center"/>
          </w:tcPr>
          <w:p>
            <w:pPr>
              <w:widowControl/>
              <w:jc w:val="center"/>
              <w:rPr>
                <w:kern w:val="0"/>
                <w:sz w:val="18"/>
                <w:szCs w:val="18"/>
              </w:rPr>
            </w:pPr>
            <w:r>
              <w:rPr>
                <w:kern w:val="0"/>
                <w:sz w:val="18"/>
                <w:szCs w:val="18"/>
              </w:rPr>
              <w:t>T （℃）</w:t>
            </w:r>
          </w:p>
        </w:tc>
        <w:tc>
          <w:tcPr>
            <w:tcW w:w="8255" w:type="dxa"/>
            <w:gridSpan w:val="6"/>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MPa</w:t>
            </w:r>
          </w:p>
        </w:tc>
      </w:tr>
      <w:tr>
        <w:tblPrEx>
          <w:tblLayout w:type="fixed"/>
          <w:tblCellMar>
            <w:top w:w="0" w:type="dxa"/>
            <w:left w:w="108" w:type="dxa"/>
            <w:bottom w:w="0" w:type="dxa"/>
            <w:right w:w="108" w:type="dxa"/>
          </w:tblCellMar>
        </w:tblPrEx>
        <w:trPr>
          <w:trHeight w:val="652" w:hRule="atLeast"/>
          <w:jc w:val="center"/>
        </w:trPr>
        <w:tc>
          <w:tcPr>
            <w:tcW w:w="1180" w:type="dxa"/>
            <w:vMerge w:val="continue"/>
            <w:tcBorders>
              <w:top w:val="single" w:color="auto" w:sz="4" w:space="0"/>
              <w:bottom w:val="single" w:color="auto" w:sz="2" w:space="0"/>
              <w:right w:val="single" w:color="auto" w:sz="2" w:space="0"/>
            </w:tcBorders>
            <w:vAlign w:val="center"/>
          </w:tcPr>
          <w:p>
            <w:pPr>
              <w:widowControl/>
              <w:jc w:val="left"/>
              <w:rPr>
                <w:kern w:val="0"/>
                <w:sz w:val="18"/>
                <w:szCs w:val="18"/>
              </w:rPr>
            </w:pPr>
          </w:p>
        </w:tc>
        <w:tc>
          <w:tcPr>
            <w:tcW w:w="137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0.01</w:t>
            </w:r>
          </w:p>
        </w:tc>
        <w:tc>
          <w:tcPr>
            <w:tcW w:w="13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0.1</w:t>
            </w:r>
          </w:p>
        </w:tc>
        <w:tc>
          <w:tcPr>
            <w:tcW w:w="13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0.5</w:t>
            </w:r>
          </w:p>
        </w:tc>
        <w:tc>
          <w:tcPr>
            <w:tcW w:w="13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w:t>
            </w:r>
          </w:p>
        </w:tc>
        <w:tc>
          <w:tcPr>
            <w:tcW w:w="13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w:t>
            </w:r>
          </w:p>
        </w:tc>
        <w:tc>
          <w:tcPr>
            <w:tcW w:w="1376" w:type="dxa"/>
            <w:tcBorders>
              <w:top w:val="single" w:color="auto" w:sz="2" w:space="0"/>
              <w:left w:val="single" w:color="auto" w:sz="2" w:space="0"/>
              <w:bottom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w:t>
            </w:r>
          </w:p>
        </w:tc>
      </w:tr>
      <w:tr>
        <w:tblPrEx>
          <w:tblLayout w:type="fixed"/>
          <w:tblCellMar>
            <w:top w:w="0" w:type="dxa"/>
            <w:left w:w="108" w:type="dxa"/>
            <w:bottom w:w="0" w:type="dxa"/>
            <w:right w:w="108" w:type="dxa"/>
          </w:tblCellMar>
        </w:tblPrEx>
        <w:trPr>
          <w:trHeight w:val="390" w:hRule="atLeast"/>
          <w:jc w:val="center"/>
        </w:trPr>
        <w:tc>
          <w:tcPr>
            <w:tcW w:w="1180" w:type="dxa"/>
            <w:tcBorders>
              <w:top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w:t>
            </w:r>
          </w:p>
        </w:tc>
        <w:tc>
          <w:tcPr>
            <w:tcW w:w="1375"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w:t>
            </w:r>
          </w:p>
        </w:tc>
        <w:tc>
          <w:tcPr>
            <w:tcW w:w="1376"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0.1</w:t>
            </w:r>
          </w:p>
        </w:tc>
        <w:tc>
          <w:tcPr>
            <w:tcW w:w="1376"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0.5</w:t>
            </w:r>
          </w:p>
        </w:tc>
        <w:tc>
          <w:tcPr>
            <w:tcW w:w="1376"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1.0</w:t>
            </w:r>
          </w:p>
        </w:tc>
        <w:tc>
          <w:tcPr>
            <w:tcW w:w="1376"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3.0</w:t>
            </w:r>
          </w:p>
        </w:tc>
        <w:tc>
          <w:tcPr>
            <w:tcW w:w="1376" w:type="dxa"/>
            <w:tcBorders>
              <w:top w:val="single" w:color="auto" w:sz="2" w:space="0"/>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5.0</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42.0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42.1</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42.5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43.0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44.9</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46.9</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83.9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84.0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84.3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84.8</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86.7</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88.6</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167.4</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167.5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167.9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168.3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170.1</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171.9</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2611.3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251.2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251.2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251.9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253.6</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255.3</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2649.3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335.0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335.3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335.7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337.3</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338.8</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2687.3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2676.5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419.4</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419.7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421.2</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422.7</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2725.4</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2716.8</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503.9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504.3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505.7</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507.1</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140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2763.6</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2756.6</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589.2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589.5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590.8</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592.1</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160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2802.0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2796.2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2767.3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675.7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676.9</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678.0</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180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2840.6</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2835.7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2812.1</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2777.3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764.1</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765.2</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200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2879.3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2875.2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2855.5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2827.5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853.0</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853.8</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220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2918.3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2914.7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2898.0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2874.9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943.9</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944.4</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240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2957.4</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2954.3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2939.9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2920.5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2823.0</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1037.8</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2996.8</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2994.1</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2981.5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2964.8</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2885.5</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1135.0</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3036.5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3034.0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3022.9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3008.3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2941.8</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2857.0</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3076.3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3074.1</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3064.2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3051.3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2994.2</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2925.4</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3177.0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3175.3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3167.6</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3157.7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3115.7</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3069.2</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400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3279.4</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3278.0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3217.8</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3264.0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3231.6</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3196.9</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420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3320.9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3319.7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3313.8</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3306.6</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3276.9</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3245.4</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440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3362.5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3361.4</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3355.9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3349.3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3321.9</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3293.2</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450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3383.3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3382.2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3377.1</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3370.7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3344.4</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3316.8</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460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3404.4</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3403.3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3398.3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3392.1</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3366.8</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3340.4</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480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3446.7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3445.6</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3440.9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3435.1</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3411.6</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3387.2</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500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3488.9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3487.9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3483.7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3478.3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3456.4</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3433.8</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520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3531.8</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3530.9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3526.9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3521.9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3501.3</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3480.1</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540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3574.7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3573.9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3570.1</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3565.4</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3546.2</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3526.4</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550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3593.2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3595.4</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3591.7</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3587.2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3568.6</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3549.6</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560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3618.0</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3617.2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3613.6</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3609.2</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3591.2</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3572.8</w:t>
            </w:r>
          </w:p>
        </w:tc>
      </w:tr>
      <w:tr>
        <w:tblPrEx>
          <w:tblLayout w:type="fixed"/>
          <w:tblCellMar>
            <w:top w:w="0" w:type="dxa"/>
            <w:left w:w="108" w:type="dxa"/>
            <w:bottom w:w="0" w:type="dxa"/>
            <w:right w:w="108" w:type="dxa"/>
          </w:tblCellMar>
        </w:tblPrEx>
        <w:trPr>
          <w:trHeight w:val="390" w:hRule="atLeast"/>
          <w:jc w:val="center"/>
        </w:trPr>
        <w:tc>
          <w:tcPr>
            <w:tcW w:w="1180" w:type="dxa"/>
            <w:tcBorders>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580</w:t>
            </w:r>
          </w:p>
        </w:tc>
        <w:tc>
          <w:tcPr>
            <w:tcW w:w="1375"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3661.6</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3660.9</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3657.5</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3653.3</w:t>
            </w:r>
          </w:p>
        </w:tc>
        <w:tc>
          <w:tcPr>
            <w:tcW w:w="1376" w:type="dxa"/>
            <w:tcBorders>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3636.3</w:t>
            </w:r>
          </w:p>
        </w:tc>
        <w:tc>
          <w:tcPr>
            <w:tcW w:w="1376" w:type="dxa"/>
            <w:tcBorders>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3619.1</w:t>
            </w:r>
          </w:p>
        </w:tc>
      </w:tr>
      <w:tr>
        <w:tblPrEx>
          <w:tblLayout w:type="fixed"/>
          <w:tblCellMar>
            <w:top w:w="0" w:type="dxa"/>
            <w:left w:w="108" w:type="dxa"/>
            <w:bottom w:w="0" w:type="dxa"/>
            <w:right w:w="108" w:type="dxa"/>
          </w:tblCellMar>
        </w:tblPrEx>
        <w:trPr>
          <w:trHeight w:val="390" w:hRule="atLeast"/>
          <w:jc w:val="center"/>
        </w:trPr>
        <w:tc>
          <w:tcPr>
            <w:tcW w:w="1180" w:type="dxa"/>
            <w:tcBorders>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600</w:t>
            </w:r>
          </w:p>
        </w:tc>
        <w:tc>
          <w:tcPr>
            <w:tcW w:w="1375" w:type="dxa"/>
            <w:tcBorders>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3705.2</w:t>
            </w:r>
          </w:p>
        </w:tc>
        <w:tc>
          <w:tcPr>
            <w:tcW w:w="1376" w:type="dxa"/>
            <w:tcBorders>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3704.5</w:t>
            </w:r>
          </w:p>
        </w:tc>
        <w:tc>
          <w:tcPr>
            <w:tcW w:w="1376" w:type="dxa"/>
            <w:tcBorders>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3701.4</w:t>
            </w:r>
          </w:p>
        </w:tc>
        <w:tc>
          <w:tcPr>
            <w:tcW w:w="1376" w:type="dxa"/>
            <w:tcBorders>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3697.4</w:t>
            </w:r>
          </w:p>
        </w:tc>
        <w:tc>
          <w:tcPr>
            <w:tcW w:w="1376" w:type="dxa"/>
            <w:tcBorders>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3681.5</w:t>
            </w:r>
          </w:p>
        </w:tc>
        <w:tc>
          <w:tcPr>
            <w:tcW w:w="1376" w:type="dxa"/>
            <w:tcBorders>
              <w:left w:val="single" w:color="auto" w:sz="2" w:space="0"/>
              <w:bottom w:val="single" w:color="auto" w:sz="8"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3665.4</w:t>
            </w:r>
          </w:p>
        </w:tc>
      </w:tr>
    </w:tbl>
    <w:p>
      <w:r>
        <w:br w:type="page"/>
      </w:r>
    </w:p>
    <w:p>
      <w:pPr>
        <w:rPr>
          <w:rFonts w:ascii="宋体" w:hAnsi="宋体" w:cs="宋体"/>
          <w:sz w:val="18"/>
          <w:szCs w:val="18"/>
        </w:rPr>
      </w:pPr>
    </w:p>
    <w:p>
      <w:pPr>
        <w:rPr>
          <w:sz w:val="18"/>
          <w:szCs w:val="18"/>
        </w:rPr>
      </w:pPr>
      <w:r>
        <w:rPr>
          <w:rFonts w:ascii="宋体" w:hAnsi="宋体" w:cs="宋体"/>
          <w:b w:val="0"/>
          <w:bCs w:val="0"/>
          <w:kern w:val="2"/>
          <w:sz w:val="18"/>
          <w:szCs w:val="18"/>
        </w:rPr>
        <w:t>4.</w:t>
      </w:r>
      <w:r>
        <w:rPr>
          <w:rFonts w:ascii="宋体" w:hAnsi="宋体" w:cs="宋体"/>
          <w:b w:val="0"/>
          <w:bCs w:val="0"/>
          <w:kern w:val="2"/>
          <w:sz w:val="18"/>
          <w:szCs w:val="18"/>
        </w:rPr>
        <w:tab/>
      </w:r>
      <w:r>
        <w:rPr>
          <w:sz w:val="18"/>
          <w:szCs w:val="18"/>
        </w:rPr>
        <w:t>过热蒸汽温度、压力—焓表</w:t>
      </w:r>
      <w:r>
        <w:rPr>
          <w:rFonts w:hint="eastAsia" w:ascii="宋体" w:hAnsi="宋体" w:cs="宋体"/>
          <w:b w:val="0"/>
          <w:bCs w:val="0"/>
          <w:kern w:val="2"/>
          <w:sz w:val="18"/>
          <w:szCs w:val="18"/>
        </w:rPr>
        <w:t>(二)</w:t>
      </w:r>
    </w:p>
    <w:p>
      <w:pPr>
        <w:ind w:firstLine="8460" w:firstLineChars="4700"/>
        <w:rPr>
          <w:sz w:val="18"/>
          <w:szCs w:val="18"/>
        </w:rPr>
      </w:pPr>
      <w:r>
        <w:rPr>
          <w:kern w:val="0"/>
          <w:sz w:val="18"/>
          <w:szCs w:val="18"/>
        </w:rPr>
        <w:t>焓（KJ/kg）</w:t>
      </w:r>
    </w:p>
    <w:tbl>
      <w:tblPr>
        <w:tblStyle w:val="25"/>
        <w:tblW w:w="9403" w:type="dxa"/>
        <w:jc w:val="center"/>
        <w:tblInd w:w="0" w:type="dxa"/>
        <w:tblLayout w:type="fixed"/>
        <w:tblCellMar>
          <w:top w:w="0" w:type="dxa"/>
          <w:left w:w="108" w:type="dxa"/>
          <w:bottom w:w="0" w:type="dxa"/>
          <w:right w:w="108" w:type="dxa"/>
        </w:tblCellMar>
      </w:tblPr>
      <w:tblGrid>
        <w:gridCol w:w="1314"/>
        <w:gridCol w:w="1348"/>
        <w:gridCol w:w="1348"/>
        <w:gridCol w:w="1347"/>
        <w:gridCol w:w="1347"/>
        <w:gridCol w:w="1347"/>
        <w:gridCol w:w="1352"/>
      </w:tblGrid>
      <w:tr>
        <w:tblPrEx>
          <w:tblLayout w:type="fixed"/>
          <w:tblCellMar>
            <w:top w:w="0" w:type="dxa"/>
            <w:left w:w="108" w:type="dxa"/>
            <w:bottom w:w="0" w:type="dxa"/>
            <w:right w:w="108" w:type="dxa"/>
          </w:tblCellMar>
        </w:tblPrEx>
        <w:trPr>
          <w:cantSplit/>
          <w:trHeight w:val="293" w:hRule="atLeast"/>
          <w:jc w:val="center"/>
        </w:trPr>
        <w:tc>
          <w:tcPr>
            <w:tcW w:w="1314" w:type="dxa"/>
            <w:vMerge w:val="restart"/>
            <w:tcBorders>
              <w:top w:val="single" w:color="auto" w:sz="8" w:space="0"/>
              <w:bottom w:val="single" w:color="000000" w:sz="4" w:space="0"/>
              <w:right w:val="single" w:color="auto" w:sz="2" w:space="0"/>
            </w:tcBorders>
            <w:vAlign w:val="center"/>
          </w:tcPr>
          <w:p>
            <w:pPr>
              <w:widowControl/>
              <w:jc w:val="center"/>
              <w:rPr>
                <w:kern w:val="0"/>
                <w:sz w:val="18"/>
                <w:szCs w:val="18"/>
              </w:rPr>
            </w:pPr>
            <w:r>
              <w:rPr>
                <w:kern w:val="0"/>
                <w:sz w:val="18"/>
                <w:szCs w:val="18"/>
              </w:rPr>
              <w:t>T （℃）</w:t>
            </w:r>
          </w:p>
        </w:tc>
        <w:tc>
          <w:tcPr>
            <w:tcW w:w="8089" w:type="dxa"/>
            <w:gridSpan w:val="6"/>
            <w:tcBorders>
              <w:top w:val="single" w:color="auto" w:sz="8" w:space="0"/>
              <w:left w:val="single" w:color="auto" w:sz="2" w:space="0"/>
              <w:bottom w:val="single" w:color="auto" w:sz="2" w:space="0"/>
            </w:tcBorders>
            <w:vAlign w:val="center"/>
          </w:tcPr>
          <w:p>
            <w:pPr>
              <w:widowControl/>
              <w:jc w:val="center"/>
              <w:rPr>
                <w:kern w:val="0"/>
                <w:sz w:val="18"/>
                <w:szCs w:val="18"/>
              </w:rPr>
            </w:pPr>
            <w:r>
              <w:rPr>
                <w:kern w:val="0"/>
                <w:sz w:val="18"/>
                <w:szCs w:val="18"/>
              </w:rPr>
              <w:t>MPa</w:t>
            </w:r>
          </w:p>
        </w:tc>
      </w:tr>
      <w:tr>
        <w:tblPrEx>
          <w:tblLayout w:type="fixed"/>
          <w:tblCellMar>
            <w:top w:w="0" w:type="dxa"/>
            <w:left w:w="108" w:type="dxa"/>
            <w:bottom w:w="0" w:type="dxa"/>
            <w:right w:w="108" w:type="dxa"/>
          </w:tblCellMar>
        </w:tblPrEx>
        <w:trPr>
          <w:cantSplit/>
          <w:trHeight w:val="605" w:hRule="atLeast"/>
          <w:jc w:val="center"/>
        </w:trPr>
        <w:tc>
          <w:tcPr>
            <w:tcW w:w="1314" w:type="dxa"/>
            <w:vMerge w:val="continue"/>
            <w:tcBorders>
              <w:top w:val="single" w:color="auto" w:sz="4" w:space="0"/>
              <w:bottom w:val="single" w:color="auto" w:sz="2" w:space="0"/>
              <w:right w:val="single" w:color="auto" w:sz="2" w:space="0"/>
            </w:tcBorders>
            <w:vAlign w:val="center"/>
          </w:tcPr>
          <w:p>
            <w:pPr>
              <w:widowControl/>
              <w:jc w:val="center"/>
              <w:rPr>
                <w:kern w:val="0"/>
                <w:sz w:val="18"/>
                <w:szCs w:val="18"/>
              </w:rPr>
            </w:pPr>
          </w:p>
        </w:tc>
        <w:tc>
          <w:tcPr>
            <w:tcW w:w="1348"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7</w:t>
            </w:r>
          </w:p>
        </w:tc>
        <w:tc>
          <w:tcPr>
            <w:tcW w:w="1348"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w:t>
            </w:r>
          </w:p>
        </w:tc>
        <w:tc>
          <w:tcPr>
            <w:tcW w:w="1347"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14</w:t>
            </w:r>
          </w:p>
        </w:tc>
        <w:tc>
          <w:tcPr>
            <w:tcW w:w="1347"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20</w:t>
            </w:r>
          </w:p>
        </w:tc>
        <w:tc>
          <w:tcPr>
            <w:tcW w:w="1347"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w:t>
            </w:r>
          </w:p>
        </w:tc>
        <w:tc>
          <w:tcPr>
            <w:tcW w:w="1352" w:type="dxa"/>
            <w:tcBorders>
              <w:top w:val="single" w:color="auto" w:sz="2" w:space="0"/>
              <w:left w:val="single" w:color="auto" w:sz="2" w:space="0"/>
              <w:bottom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w:t>
            </w:r>
          </w:p>
        </w:tc>
      </w:tr>
      <w:tr>
        <w:tblPrEx>
          <w:tblLayout w:type="fixed"/>
          <w:tblCellMar>
            <w:top w:w="0" w:type="dxa"/>
            <w:left w:w="108" w:type="dxa"/>
            <w:bottom w:w="0" w:type="dxa"/>
            <w:right w:w="108" w:type="dxa"/>
          </w:tblCellMar>
        </w:tblPrEx>
        <w:trPr>
          <w:trHeight w:val="390" w:hRule="atLeast"/>
          <w:jc w:val="center"/>
        </w:trPr>
        <w:tc>
          <w:tcPr>
            <w:tcW w:w="1314" w:type="dxa"/>
            <w:tcBorders>
              <w:top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0</w:t>
            </w:r>
          </w:p>
        </w:tc>
        <w:tc>
          <w:tcPr>
            <w:tcW w:w="1348"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7.10</w:t>
            </w:r>
          </w:p>
        </w:tc>
        <w:tc>
          <w:tcPr>
            <w:tcW w:w="1348"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10.1</w:t>
            </w:r>
          </w:p>
        </w:tc>
        <w:tc>
          <w:tcPr>
            <w:tcW w:w="1347"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14.1</w:t>
            </w:r>
          </w:p>
        </w:tc>
        <w:tc>
          <w:tcPr>
            <w:tcW w:w="1347"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20.1</w:t>
            </w:r>
          </w:p>
        </w:tc>
        <w:tc>
          <w:tcPr>
            <w:tcW w:w="1347" w:type="dxa"/>
            <w:tcBorders>
              <w:top w:val="single" w:color="auto" w:sz="2" w:space="0"/>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25.1</w:t>
            </w:r>
          </w:p>
        </w:tc>
        <w:tc>
          <w:tcPr>
            <w:tcW w:w="1352" w:type="dxa"/>
            <w:tcBorders>
              <w:top w:val="single" w:color="auto" w:sz="2" w:space="0"/>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30.0</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48.80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51.7</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55.6</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61.3</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66.1</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70.8</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90.40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93.2</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97.0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102.5</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107.1</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111.7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173.60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176.3</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179.8</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185.1</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189.4</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193.8</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256.90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259.4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262.8</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267.8</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272.0</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276.1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340.40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342.8</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346.0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350.8</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354.8</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358.7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424.20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426.5</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429.5</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434.0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437.8</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441.6</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508.50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510.6</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513.5</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517.7</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521.3</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524.9</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140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593.40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595.4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598.0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602.0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605.4</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603.1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160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679.20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681.0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683.4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687.1</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690.2</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693.3</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180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766.20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767.8</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769.9</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773.1</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775.9</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778.7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200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854.63</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855.9</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857.7</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860.4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862.8</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856.2</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945.00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946.0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947.2</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949.3</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951.2</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 xml:space="preserve"> 953.1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240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1038.00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1038.4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1039.1</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1040.3</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1041.5</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1024.8</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1134.70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1134.3</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1134.1</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1134.0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1134.3</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1134.8</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1236.70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1235.2</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1233.5</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1231.6</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1230.5</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1229.9</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2839.20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1343.7</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1339.5</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1334.6</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1331.5</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1329.0</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3017.00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2924.2</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2753.5</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1648.4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1626.4</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1611.3</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400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3159.70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3098.5</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3004.0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2820.1</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2583.2</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2159.1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3211.02</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3156.0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3072.7</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2917.0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2730.8</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2424.7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440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3262.34</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3213.5</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3141.4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3014.0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2878.3</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2690.3</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450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3288.00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3242.2</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3175.8</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3062.4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2952.1</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2823.1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460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3312.44</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3268.6</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3205.2</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3098.0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2994.7</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2875.3</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480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3361.32</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3321.3</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3264.1</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3169.1</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3079.8</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2979.6</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500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3410.20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3374.1</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3323.0</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3240.2</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3165.0</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3083.9</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3458.60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3425.1</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3378.4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3303.7</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3237.0</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3166.1</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540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3506.40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3475.4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3432.5</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3364.6</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3304.7</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3241.7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550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3530.20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3500.4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3459.2</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3394.3</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3337.3</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3277.7</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560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3554.10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3525.4</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3485.8</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3423.6</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3369.2</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3312.6</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580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3601.60</w:t>
            </w:r>
          </w:p>
        </w:tc>
        <w:tc>
          <w:tcPr>
            <w:tcW w:w="1348"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3574.9</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3538.2</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3480.9</w:t>
            </w:r>
          </w:p>
        </w:tc>
        <w:tc>
          <w:tcPr>
            <w:tcW w:w="1347" w:type="dxa"/>
            <w:tcBorders>
              <w:top w:val="nil"/>
              <w:left w:val="single" w:color="auto" w:sz="2"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3431.2</w:t>
            </w:r>
          </w:p>
        </w:tc>
        <w:tc>
          <w:tcPr>
            <w:tcW w:w="1352" w:type="dxa"/>
            <w:tcBorders>
              <w:top w:val="nil"/>
              <w:lef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3379.8</w:t>
            </w:r>
          </w:p>
        </w:tc>
      </w:tr>
      <w:tr>
        <w:tblPrEx>
          <w:tblLayout w:type="fixed"/>
          <w:tblCellMar>
            <w:top w:w="0" w:type="dxa"/>
            <w:left w:w="108" w:type="dxa"/>
            <w:bottom w:w="0" w:type="dxa"/>
            <w:right w:w="108" w:type="dxa"/>
          </w:tblCellMar>
        </w:tblPrEx>
        <w:trPr>
          <w:trHeight w:val="390" w:hRule="atLeast"/>
          <w:jc w:val="center"/>
        </w:trPr>
        <w:tc>
          <w:tcPr>
            <w:tcW w:w="1314" w:type="dxa"/>
            <w:tcBorders>
              <w:top w:val="nil"/>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600</w:t>
            </w:r>
          </w:p>
        </w:tc>
        <w:tc>
          <w:tcPr>
            <w:tcW w:w="1348" w:type="dxa"/>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3649.00</w:t>
            </w:r>
          </w:p>
        </w:tc>
        <w:tc>
          <w:tcPr>
            <w:tcW w:w="1348" w:type="dxa"/>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3624.0</w:t>
            </w:r>
          </w:p>
        </w:tc>
        <w:tc>
          <w:tcPr>
            <w:tcW w:w="1347" w:type="dxa"/>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3589.8</w:t>
            </w:r>
          </w:p>
        </w:tc>
        <w:tc>
          <w:tcPr>
            <w:tcW w:w="1347" w:type="dxa"/>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3536.9</w:t>
            </w:r>
          </w:p>
        </w:tc>
        <w:tc>
          <w:tcPr>
            <w:tcW w:w="1347" w:type="dxa"/>
            <w:tcBorders>
              <w:top w:val="nil"/>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3491.2</w:t>
            </w:r>
          </w:p>
        </w:tc>
        <w:tc>
          <w:tcPr>
            <w:tcW w:w="1352" w:type="dxa"/>
            <w:tcBorders>
              <w:top w:val="nil"/>
              <w:left w:val="single" w:color="auto" w:sz="2" w:space="0"/>
              <w:bottom w:val="single" w:color="auto" w:sz="8" w:space="0"/>
            </w:tcBorders>
            <w:vAlign w:val="center"/>
          </w:tcPr>
          <w:p>
            <w:pPr>
              <w:widowControl/>
              <w:jc w:val="center"/>
              <w:rPr>
                <w:rFonts w:ascii="宋体" w:hAnsi="宋体" w:cs="宋体"/>
                <w:kern w:val="0"/>
                <w:sz w:val="18"/>
                <w:szCs w:val="18"/>
              </w:rPr>
            </w:pPr>
            <w:r>
              <w:rPr>
                <w:rFonts w:ascii="宋体" w:hAnsi="宋体" w:cs="宋体"/>
                <w:b w:val="0"/>
                <w:bCs w:val="0"/>
                <w:kern w:val="0"/>
                <w:sz w:val="18"/>
                <w:szCs w:val="18"/>
              </w:rPr>
              <w:t>3444.2</w:t>
            </w:r>
          </w:p>
        </w:tc>
      </w:tr>
    </w:tbl>
    <w:p>
      <w:pPr>
        <w:snapToGrid w:val="0"/>
        <w:spacing w:beforeLines="150" w:afterLines="150"/>
        <w:jc w:val="center"/>
        <w:outlineLvl w:val="1"/>
        <w:rPr>
          <w:rFonts w:eastAsia="黑体"/>
          <w:sz w:val="28"/>
          <w:szCs w:val="28"/>
        </w:rPr>
      </w:pPr>
      <w:r>
        <w:br w:type="page"/>
      </w:r>
      <w:r>
        <w:rPr>
          <w:rFonts w:eastAsia="黑体"/>
          <w:sz w:val="28"/>
          <w:szCs w:val="28"/>
        </w:rPr>
        <w:t>（三）季度地区能源消费总量核算方案</w:t>
      </w:r>
    </w:p>
    <w:p>
      <w:pPr>
        <w:spacing w:line="360" w:lineRule="exact"/>
        <w:ind w:right="-40" w:firstLine="430" w:firstLineChars="205"/>
        <w:textAlignment w:val="center"/>
        <w:rPr>
          <w:szCs w:val="21"/>
        </w:rPr>
      </w:pPr>
      <w:r>
        <w:rPr>
          <w:szCs w:val="21"/>
        </w:rPr>
        <w:t>季度地区能源消费总量核算</w:t>
      </w:r>
      <w:r>
        <w:rPr>
          <w:rFonts w:hint="eastAsia"/>
          <w:szCs w:val="21"/>
        </w:rPr>
        <w:t>（季度核算</w:t>
      </w:r>
      <w:r>
        <w:rPr>
          <w:szCs w:val="21"/>
        </w:rPr>
        <w:t>）的基础资料主要包括能源平衡表</w:t>
      </w:r>
      <w:r>
        <w:rPr>
          <w:rFonts w:hint="eastAsia"/>
          <w:szCs w:val="21"/>
        </w:rPr>
        <w:t>、</w:t>
      </w:r>
      <w:r>
        <w:rPr>
          <w:szCs w:val="21"/>
        </w:rPr>
        <w:t>规模以上工业企业能源消费</w:t>
      </w:r>
      <w:r>
        <w:rPr>
          <w:rFonts w:hint="eastAsia"/>
          <w:szCs w:val="21"/>
        </w:rPr>
        <w:t>、</w:t>
      </w:r>
      <w:r>
        <w:rPr>
          <w:szCs w:val="21"/>
        </w:rPr>
        <w:t>增加值</w:t>
      </w:r>
      <w:r>
        <w:rPr>
          <w:rFonts w:hint="eastAsia"/>
          <w:szCs w:val="21"/>
        </w:rPr>
        <w:t>、全</w:t>
      </w:r>
      <w:r>
        <w:rPr>
          <w:szCs w:val="21"/>
        </w:rPr>
        <w:t>社会用电量等数据。其核算概念、口径范围等与年度</w:t>
      </w:r>
      <w:r>
        <w:rPr>
          <w:rFonts w:hint="eastAsia"/>
          <w:szCs w:val="21"/>
        </w:rPr>
        <w:t>核算</w:t>
      </w:r>
      <w:r>
        <w:rPr>
          <w:szCs w:val="21"/>
        </w:rPr>
        <w:t>（</w:t>
      </w:r>
      <w:r>
        <w:rPr>
          <w:rFonts w:hint="eastAsia"/>
          <w:szCs w:val="21"/>
        </w:rPr>
        <w:t>编制年度</w:t>
      </w:r>
      <w:r>
        <w:rPr>
          <w:szCs w:val="21"/>
        </w:rPr>
        <w:t>能源平衡表）一致。</w:t>
      </w:r>
    </w:p>
    <w:p>
      <w:pPr>
        <w:spacing w:line="360" w:lineRule="exact"/>
        <w:ind w:right="-40" w:firstLine="430" w:firstLineChars="205"/>
        <w:textAlignment w:val="center"/>
        <w:rPr>
          <w:rFonts w:ascii="黑体" w:eastAsia="黑体"/>
          <w:color w:val="000000"/>
          <w:szCs w:val="21"/>
        </w:rPr>
      </w:pPr>
      <w:r>
        <w:rPr>
          <w:rFonts w:hint="eastAsia" w:ascii="黑体" w:eastAsia="黑体"/>
          <w:color w:val="000000"/>
          <w:szCs w:val="21"/>
        </w:rPr>
        <w:t>一、</w:t>
      </w:r>
      <w:r>
        <w:rPr>
          <w:rFonts w:ascii="黑体" w:eastAsia="黑体"/>
          <w:color w:val="000000"/>
          <w:szCs w:val="21"/>
        </w:rPr>
        <w:t>口径范围</w:t>
      </w:r>
    </w:p>
    <w:p>
      <w:pPr>
        <w:spacing w:line="360" w:lineRule="exact"/>
        <w:ind w:right="-40" w:firstLine="430" w:firstLineChars="205"/>
        <w:textAlignment w:val="center"/>
        <w:rPr>
          <w:rFonts w:ascii="宋体" w:hAnsi="宋体"/>
          <w:szCs w:val="21"/>
        </w:rPr>
      </w:pPr>
      <w:r>
        <w:rPr>
          <w:rFonts w:ascii="宋体" w:hAnsi="宋体"/>
          <w:color w:val="000000"/>
          <w:szCs w:val="21"/>
        </w:rPr>
        <w:t>1.</w:t>
      </w:r>
      <w:r>
        <w:rPr>
          <w:rFonts w:ascii="宋体" w:hAnsi="宋体"/>
          <w:szCs w:val="21"/>
        </w:rPr>
        <w:t>能源消费数据均为等价值口径</w:t>
      </w:r>
      <w:r>
        <w:rPr>
          <w:rFonts w:hint="eastAsia" w:ascii="宋体" w:hAnsi="宋体"/>
          <w:szCs w:val="21"/>
        </w:rPr>
        <w:t>。</w:t>
      </w:r>
    </w:p>
    <w:p>
      <w:pPr>
        <w:spacing w:line="360" w:lineRule="exact"/>
        <w:ind w:right="-40" w:firstLine="430" w:firstLineChars="205"/>
        <w:textAlignment w:val="center"/>
        <w:rPr>
          <w:rFonts w:ascii="宋体" w:hAnsi="宋体"/>
          <w:color w:val="000000"/>
          <w:szCs w:val="21"/>
        </w:rPr>
      </w:pPr>
      <w:r>
        <w:rPr>
          <w:rFonts w:ascii="宋体" w:hAnsi="宋体"/>
          <w:color w:val="000000"/>
          <w:szCs w:val="21"/>
        </w:rPr>
        <w:t>2.</w:t>
      </w:r>
      <w:r>
        <w:rPr>
          <w:rFonts w:ascii="宋体" w:hAnsi="宋体"/>
          <w:szCs w:val="21"/>
        </w:rPr>
        <w:t>当上年度能源平衡表无法获得时</w:t>
      </w:r>
      <w:r>
        <w:rPr>
          <w:szCs w:val="21"/>
        </w:rPr>
        <w:t>，</w:t>
      </w:r>
      <w:r>
        <w:rPr>
          <w:rFonts w:ascii="宋体" w:hAnsi="宋体"/>
          <w:szCs w:val="21"/>
        </w:rPr>
        <w:t>则使用上上年度能源平衡表。</w:t>
      </w:r>
    </w:p>
    <w:p>
      <w:pPr>
        <w:spacing w:line="360" w:lineRule="exact"/>
        <w:ind w:right="-40" w:firstLine="430" w:firstLineChars="205"/>
        <w:textAlignment w:val="center"/>
        <w:rPr>
          <w:rFonts w:ascii="宋体" w:hAnsi="宋体"/>
          <w:szCs w:val="21"/>
        </w:rPr>
      </w:pPr>
      <w:r>
        <w:rPr>
          <w:rFonts w:ascii="宋体" w:hAnsi="宋体"/>
          <w:color w:val="000000"/>
          <w:szCs w:val="21"/>
        </w:rPr>
        <w:t>3.</w:t>
      </w:r>
      <w:r>
        <w:rPr>
          <w:rFonts w:ascii="宋体" w:hAnsi="宋体"/>
          <w:szCs w:val="21"/>
        </w:rPr>
        <w:t>增加值数据均为不变价</w:t>
      </w:r>
      <w:r>
        <w:rPr>
          <w:rFonts w:hint="eastAsia" w:ascii="宋体" w:hAnsi="宋体"/>
          <w:szCs w:val="21"/>
        </w:rPr>
        <w:t>，规模</w:t>
      </w:r>
      <w:r>
        <w:rPr>
          <w:rFonts w:ascii="宋体" w:hAnsi="宋体"/>
          <w:szCs w:val="21"/>
        </w:rPr>
        <w:t>以上工业增加值数据来源于工业专业，规模以下工业增加值数据来源于工业</w:t>
      </w:r>
      <w:r>
        <w:rPr>
          <w:rFonts w:hint="eastAsia" w:ascii="宋体" w:hAnsi="宋体"/>
          <w:szCs w:val="21"/>
        </w:rPr>
        <w:t>专业或国民经济核算专业，地区生产总值（GDP）</w:t>
      </w:r>
      <w:r>
        <w:rPr>
          <w:rFonts w:ascii="宋体" w:hAnsi="宋体"/>
          <w:szCs w:val="21"/>
        </w:rPr>
        <w:t>和其他行业增加值</w:t>
      </w:r>
      <w:r>
        <w:rPr>
          <w:rFonts w:hint="eastAsia" w:ascii="宋体" w:hAnsi="宋体"/>
          <w:szCs w:val="21"/>
        </w:rPr>
        <w:t>数据</w:t>
      </w:r>
      <w:r>
        <w:rPr>
          <w:rFonts w:ascii="宋体" w:hAnsi="宋体"/>
          <w:szCs w:val="21"/>
        </w:rPr>
        <w:t>来源于国民经济核算专业</w:t>
      </w:r>
      <w:r>
        <w:rPr>
          <w:rFonts w:hint="eastAsia" w:ascii="宋体" w:hAnsi="宋体"/>
          <w:szCs w:val="21"/>
        </w:rPr>
        <w:t>。</w:t>
      </w:r>
    </w:p>
    <w:p>
      <w:pPr>
        <w:spacing w:line="360" w:lineRule="exact"/>
        <w:ind w:right="-40" w:firstLine="430" w:firstLineChars="205"/>
        <w:textAlignment w:val="center"/>
        <w:rPr>
          <w:rFonts w:ascii="黑体" w:eastAsia="黑体"/>
          <w:color w:val="000000"/>
          <w:szCs w:val="21"/>
        </w:rPr>
      </w:pPr>
      <w:r>
        <w:rPr>
          <w:rFonts w:ascii="宋体" w:hAnsi="宋体"/>
          <w:color w:val="000000"/>
          <w:szCs w:val="21"/>
        </w:rPr>
        <w:t>4.分行业用电量数据来源于中电联</w:t>
      </w:r>
      <w:r>
        <w:rPr>
          <w:rFonts w:hint="eastAsia" w:ascii="宋体" w:hAnsi="宋体"/>
          <w:color w:val="000000"/>
          <w:szCs w:val="21"/>
        </w:rPr>
        <w:t>（电力部门）。</w:t>
      </w:r>
    </w:p>
    <w:p>
      <w:pPr>
        <w:spacing w:line="360" w:lineRule="exact"/>
        <w:ind w:right="-40" w:firstLine="430" w:firstLineChars="205"/>
        <w:textAlignment w:val="center"/>
        <w:rPr>
          <w:rFonts w:ascii="黑体" w:eastAsia="黑体"/>
          <w:color w:val="000000"/>
          <w:szCs w:val="21"/>
        </w:rPr>
      </w:pPr>
      <w:r>
        <w:rPr>
          <w:rFonts w:ascii="黑体" w:eastAsia="黑体"/>
          <w:color w:val="000000"/>
          <w:szCs w:val="21"/>
        </w:rPr>
        <w:t>二</w:t>
      </w:r>
      <w:r>
        <w:rPr>
          <w:rFonts w:hint="eastAsia" w:ascii="黑体" w:eastAsia="黑体"/>
          <w:color w:val="000000"/>
          <w:szCs w:val="21"/>
        </w:rPr>
        <w:t>、主要核算方法</w:t>
      </w:r>
    </w:p>
    <w:p>
      <w:pPr>
        <w:spacing w:line="360" w:lineRule="exact"/>
        <w:ind w:right="-40" w:firstLine="430" w:firstLineChars="205"/>
        <w:textAlignment w:val="center"/>
        <w:rPr>
          <w:szCs w:val="21"/>
        </w:rPr>
      </w:pPr>
      <w:r>
        <w:rPr>
          <w:rFonts w:hint="eastAsia"/>
          <w:szCs w:val="21"/>
        </w:rPr>
        <w:t>主要使用以下三种方法对非工业行业</w:t>
      </w:r>
      <w:r>
        <w:rPr>
          <w:szCs w:val="21"/>
        </w:rPr>
        <w:t>和居民生活本期</w:t>
      </w:r>
      <w:r>
        <w:rPr>
          <w:rFonts w:hint="eastAsia"/>
          <w:szCs w:val="21"/>
        </w:rPr>
        <w:t>能源消费量进行</w:t>
      </w:r>
      <w:r>
        <w:rPr>
          <w:szCs w:val="21"/>
        </w:rPr>
        <w:t>核算</w:t>
      </w:r>
      <w:r>
        <w:rPr>
          <w:rFonts w:hint="eastAsia"/>
          <w:szCs w:val="21"/>
        </w:rPr>
        <w:t>。</w:t>
      </w:r>
    </w:p>
    <w:p>
      <w:pPr>
        <w:spacing w:line="360" w:lineRule="exact"/>
        <w:ind w:right="-40" w:firstLine="430" w:firstLineChars="205"/>
        <w:textAlignment w:val="center"/>
        <w:rPr>
          <w:rFonts w:ascii="宋体" w:hAnsi="宋体"/>
          <w:szCs w:val="21"/>
        </w:rPr>
      </w:pPr>
      <w:r>
        <w:rPr>
          <w:rFonts w:ascii="宋体" w:hAnsi="宋体"/>
          <w:szCs w:val="21"/>
        </w:rPr>
        <w:t>1</w:t>
      </w:r>
      <w:r>
        <w:rPr>
          <w:rFonts w:ascii="宋体" w:hAnsi="宋体"/>
          <w:spacing w:val="4"/>
          <w:szCs w:val="21"/>
        </w:rPr>
        <w:t>.</w:t>
      </w:r>
      <w:r>
        <w:rPr>
          <w:rFonts w:ascii="宋体" w:hAnsi="宋体"/>
          <w:szCs w:val="21"/>
        </w:rPr>
        <w:t>核算方法</w:t>
      </w:r>
      <w:r>
        <w:rPr>
          <w:rFonts w:hint="eastAsia" w:ascii="宋体" w:hAnsi="宋体"/>
          <w:szCs w:val="21"/>
        </w:rPr>
        <w:t>一</w:t>
      </w:r>
      <w:r>
        <w:rPr>
          <w:rFonts w:hint="eastAsia"/>
          <w:szCs w:val="21"/>
        </w:rPr>
        <w:t>（</w:t>
      </w:r>
      <w:r>
        <w:rPr>
          <w:rFonts w:hint="eastAsia" w:ascii="宋体" w:hAnsi="宋体"/>
          <w:szCs w:val="21"/>
        </w:rPr>
        <w:t>电力占比法</w:t>
      </w:r>
      <w:r>
        <w:rPr>
          <w:rFonts w:hint="eastAsia"/>
          <w:szCs w:val="21"/>
        </w:rPr>
        <w:t>）</w:t>
      </w:r>
      <w:r>
        <w:rPr>
          <w:szCs w:val="21"/>
        </w:rPr>
        <w:t>：</w:t>
      </w:r>
      <w:r>
        <w:rPr>
          <w:rFonts w:ascii="宋体" w:hAnsi="宋体"/>
          <w:szCs w:val="21"/>
        </w:rPr>
        <w:t>使用本期用电量</w:t>
      </w:r>
      <w:r>
        <w:rPr>
          <w:rFonts w:hint="eastAsia"/>
          <w:szCs w:val="21"/>
        </w:rPr>
        <w:t>（</w:t>
      </w:r>
      <w:r>
        <w:rPr>
          <w:rFonts w:hint="eastAsia" w:ascii="宋体" w:hAnsi="宋体"/>
          <w:szCs w:val="21"/>
        </w:rPr>
        <w:t>折标准量</w:t>
      </w:r>
      <w:r>
        <w:rPr>
          <w:rFonts w:hint="eastAsia"/>
          <w:szCs w:val="21"/>
        </w:rPr>
        <w:t>）</w:t>
      </w:r>
      <w:r>
        <w:rPr>
          <w:rFonts w:hint="eastAsia" w:ascii="宋体" w:hAnsi="宋体"/>
          <w:szCs w:val="21"/>
        </w:rPr>
        <w:t>、上年</w:t>
      </w:r>
      <w:r>
        <w:rPr>
          <w:rFonts w:ascii="宋体" w:hAnsi="宋体"/>
          <w:szCs w:val="21"/>
        </w:rPr>
        <w:t>用电量比重等</w:t>
      </w:r>
      <w:r>
        <w:rPr>
          <w:rFonts w:hint="eastAsia" w:ascii="宋体" w:hAnsi="宋体"/>
          <w:szCs w:val="21"/>
        </w:rPr>
        <w:t>核算。</w:t>
      </w:r>
    </w:p>
    <w:p>
      <w:pPr>
        <w:spacing w:line="360" w:lineRule="exact"/>
        <w:ind w:right="-40" w:firstLine="430" w:firstLineChars="205"/>
        <w:textAlignment w:val="center"/>
        <w:rPr>
          <w:rFonts w:ascii="宋体"/>
          <w:szCs w:val="21"/>
        </w:rPr>
      </w:pPr>
      <w:r>
        <w:rPr>
          <w:rFonts w:ascii="宋体" w:hAnsi="宋体"/>
          <w:szCs w:val="21"/>
        </w:rPr>
        <w:t>本期能源消费量</w:t>
      </w:r>
      <w:r>
        <w:rPr>
          <w:rFonts w:hint="eastAsia" w:ascii="宋体" w:hAnsi="宋体"/>
          <w:szCs w:val="21"/>
        </w:rPr>
        <w:t>=</w:t>
      </w:r>
      <w:r>
        <w:rPr>
          <w:rFonts w:ascii="宋体" w:hAnsi="宋体"/>
          <w:szCs w:val="21"/>
        </w:rPr>
        <w:t>本期用电量</w:t>
      </w:r>
      <w:r>
        <w:rPr>
          <w:rFonts w:hint="eastAsia"/>
          <w:szCs w:val="21"/>
        </w:rPr>
        <w:t>（</w:t>
      </w:r>
      <w:r>
        <w:rPr>
          <w:rFonts w:ascii="宋体" w:hAnsi="宋体"/>
          <w:szCs w:val="21"/>
        </w:rPr>
        <w:t>折标准量</w:t>
      </w:r>
      <w:r>
        <w:rPr>
          <w:rFonts w:hint="eastAsia"/>
          <w:szCs w:val="21"/>
        </w:rPr>
        <w:t>）</w:t>
      </w:r>
      <w:r>
        <w:rPr>
          <w:rFonts w:ascii="宋体" w:hAnsi="宋体"/>
          <w:szCs w:val="21"/>
        </w:rPr>
        <w:t>÷</w:t>
      </w:r>
      <w:r>
        <w:rPr>
          <w:rFonts w:ascii="宋体"/>
          <w:szCs w:val="21"/>
        </w:rPr>
        <w:t>上年用电量占能源消费量比重</w:t>
      </w:r>
    </w:p>
    <w:p>
      <w:pPr>
        <w:spacing w:line="360" w:lineRule="exact"/>
        <w:ind w:right="-40" w:firstLine="430" w:firstLineChars="205"/>
        <w:textAlignment w:val="center"/>
        <w:rPr>
          <w:rFonts w:ascii="宋体"/>
          <w:szCs w:val="21"/>
        </w:rPr>
      </w:pPr>
      <w:r>
        <w:rPr>
          <w:rFonts w:ascii="宋体"/>
          <w:szCs w:val="21"/>
        </w:rPr>
        <w:t xml:space="preserve">              =本期</w:t>
      </w:r>
      <w:r>
        <w:rPr>
          <w:rFonts w:hint="eastAsia" w:ascii="宋体"/>
          <w:szCs w:val="21"/>
        </w:rPr>
        <w:t>用电量×电力等价折标系数÷上年用电量占能源消费量比重</w:t>
      </w:r>
    </w:p>
    <w:p>
      <w:pPr>
        <w:spacing w:line="360" w:lineRule="exact"/>
        <w:ind w:right="-40" w:firstLine="430" w:firstLineChars="205"/>
        <w:textAlignment w:val="center"/>
        <w:rPr>
          <w:rFonts w:ascii="宋体" w:hAnsi="宋体"/>
          <w:szCs w:val="21"/>
        </w:rPr>
      </w:pPr>
      <w:r>
        <w:rPr>
          <w:rFonts w:hint="eastAsia" w:ascii="宋体"/>
          <w:szCs w:val="21"/>
        </w:rPr>
        <w:t>其中</w:t>
      </w:r>
      <w:r>
        <w:rPr>
          <w:rFonts w:hint="eastAsia"/>
          <w:szCs w:val="21"/>
        </w:rPr>
        <w:t>：</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1</w:t>
      </w:r>
      <w:r>
        <w:rPr>
          <w:rFonts w:hint="eastAsia"/>
          <w:szCs w:val="21"/>
        </w:rPr>
        <w:t>）“</w:t>
      </w:r>
      <w:r>
        <w:rPr>
          <w:rFonts w:ascii="宋体" w:hAnsi="宋体"/>
          <w:szCs w:val="21"/>
        </w:rPr>
        <w:t>本</w:t>
      </w:r>
      <w:r>
        <w:rPr>
          <w:rFonts w:hint="eastAsia" w:ascii="宋体" w:hAnsi="宋体"/>
          <w:szCs w:val="21"/>
        </w:rPr>
        <w:t>期用电量</w:t>
      </w:r>
      <w:r>
        <w:rPr>
          <w:rFonts w:hint="eastAsia"/>
          <w:szCs w:val="21"/>
        </w:rPr>
        <w:t>”</w:t>
      </w:r>
      <w:r>
        <w:rPr>
          <w:rFonts w:hint="eastAsia" w:ascii="宋体" w:hAnsi="宋体"/>
          <w:szCs w:val="21"/>
        </w:rPr>
        <w:t>是指各行业和</w:t>
      </w:r>
      <w:r>
        <w:rPr>
          <w:rFonts w:ascii="宋体" w:hAnsi="宋体"/>
          <w:szCs w:val="21"/>
        </w:rPr>
        <w:t>居民生活本期</w:t>
      </w:r>
      <w:r>
        <w:rPr>
          <w:rFonts w:hint="eastAsia" w:ascii="宋体" w:hAnsi="宋体"/>
          <w:szCs w:val="21"/>
        </w:rPr>
        <w:t>用电量。</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2</w:t>
      </w:r>
      <w:r>
        <w:rPr>
          <w:rFonts w:hint="eastAsia"/>
          <w:szCs w:val="21"/>
        </w:rPr>
        <w:t>）“</w:t>
      </w:r>
      <w:r>
        <w:rPr>
          <w:rFonts w:hint="eastAsia" w:ascii="宋体" w:hAnsi="宋体"/>
          <w:szCs w:val="21"/>
        </w:rPr>
        <w:t>电力等价折标系数</w:t>
      </w:r>
      <w:r>
        <w:rPr>
          <w:rFonts w:hint="eastAsia"/>
          <w:szCs w:val="21"/>
        </w:rPr>
        <w:t>”</w:t>
      </w:r>
      <w:r>
        <w:rPr>
          <w:rFonts w:ascii="宋体" w:hAnsi="宋体"/>
          <w:szCs w:val="21"/>
        </w:rPr>
        <w:t>以上年能源平衡表中</w:t>
      </w:r>
      <w:r>
        <w:rPr>
          <w:rFonts w:hint="eastAsia" w:ascii="宋体" w:hAnsi="宋体"/>
          <w:szCs w:val="21"/>
        </w:rPr>
        <w:t>电力等价折标系数</w:t>
      </w:r>
      <w:r>
        <w:rPr>
          <w:rFonts w:ascii="宋体" w:hAnsi="宋体"/>
          <w:szCs w:val="21"/>
        </w:rPr>
        <w:t>为基础</w:t>
      </w:r>
      <w:r>
        <w:rPr>
          <w:szCs w:val="21"/>
        </w:rPr>
        <w:t>，</w:t>
      </w:r>
      <w:r>
        <w:rPr>
          <w:rFonts w:hint="eastAsia"/>
          <w:szCs w:val="21"/>
        </w:rPr>
        <w:t>参考</w:t>
      </w:r>
      <w:r>
        <w:rPr>
          <w:rFonts w:ascii="宋体" w:hAnsi="宋体"/>
          <w:szCs w:val="21"/>
        </w:rPr>
        <w:t>中电联和规模以上工业企业发电煤耗</w:t>
      </w:r>
      <w:r>
        <w:rPr>
          <w:rFonts w:hint="eastAsia" w:ascii="宋体" w:hAnsi="宋体"/>
          <w:szCs w:val="21"/>
        </w:rPr>
        <w:t>本期与</w:t>
      </w:r>
      <w:r>
        <w:rPr>
          <w:rFonts w:ascii="宋体" w:hAnsi="宋体"/>
          <w:szCs w:val="21"/>
        </w:rPr>
        <w:t>同期</w:t>
      </w:r>
      <w:r>
        <w:rPr>
          <w:rFonts w:hint="eastAsia" w:ascii="宋体" w:hAnsi="宋体"/>
          <w:szCs w:val="21"/>
        </w:rPr>
        <w:t>的变动</w:t>
      </w:r>
      <w:r>
        <w:rPr>
          <w:rFonts w:ascii="宋体" w:hAnsi="宋体"/>
          <w:szCs w:val="21"/>
        </w:rPr>
        <w:t>克数</w:t>
      </w:r>
      <w:r>
        <w:rPr>
          <w:rFonts w:hint="eastAsia" w:ascii="宋体" w:hAnsi="宋体"/>
          <w:szCs w:val="21"/>
        </w:rPr>
        <w:t>确定</w:t>
      </w:r>
      <w:r>
        <w:rPr>
          <w:rFonts w:ascii="宋体" w:hAnsi="宋体"/>
          <w:szCs w:val="21"/>
        </w:rPr>
        <w:t>。</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3</w:t>
      </w:r>
      <w:r>
        <w:rPr>
          <w:rFonts w:hint="eastAsia"/>
          <w:szCs w:val="21"/>
        </w:rPr>
        <w:t>）“</w:t>
      </w:r>
      <w:r>
        <w:rPr>
          <w:rFonts w:ascii="宋体" w:hAnsi="宋体"/>
          <w:szCs w:val="21"/>
        </w:rPr>
        <w:t>上年用电量占</w:t>
      </w:r>
      <w:r>
        <w:rPr>
          <w:rFonts w:hint="eastAsia" w:ascii="宋体" w:hAnsi="宋体"/>
          <w:szCs w:val="21"/>
        </w:rPr>
        <w:t>能源</w:t>
      </w:r>
      <w:r>
        <w:rPr>
          <w:rFonts w:ascii="宋体" w:hAnsi="宋体"/>
          <w:szCs w:val="21"/>
        </w:rPr>
        <w:t>消费量比重”是指上年</w:t>
      </w:r>
      <w:r>
        <w:rPr>
          <w:rFonts w:hint="eastAsia" w:ascii="宋体" w:hAnsi="宋体"/>
          <w:szCs w:val="21"/>
        </w:rPr>
        <w:t>能源</w:t>
      </w:r>
      <w:r>
        <w:rPr>
          <w:rFonts w:ascii="宋体" w:hAnsi="宋体"/>
          <w:szCs w:val="21"/>
        </w:rPr>
        <w:t>平衡表中</w:t>
      </w:r>
      <w:r>
        <w:rPr>
          <w:rFonts w:hint="eastAsia" w:ascii="宋体" w:hAnsi="宋体"/>
          <w:szCs w:val="21"/>
        </w:rPr>
        <w:t>各行</w:t>
      </w:r>
      <w:r>
        <w:rPr>
          <w:rFonts w:ascii="宋体" w:hAnsi="宋体"/>
          <w:szCs w:val="21"/>
        </w:rPr>
        <w:t>业</w:t>
      </w:r>
      <w:r>
        <w:rPr>
          <w:rFonts w:hint="eastAsia" w:ascii="宋体" w:hAnsi="宋体"/>
          <w:szCs w:val="21"/>
        </w:rPr>
        <w:t>和</w:t>
      </w:r>
      <w:r>
        <w:rPr>
          <w:rFonts w:ascii="宋体" w:hAnsi="宋体"/>
          <w:szCs w:val="21"/>
        </w:rPr>
        <w:t>居民</w:t>
      </w:r>
      <w:r>
        <w:rPr>
          <w:rFonts w:hint="eastAsia" w:ascii="宋体" w:hAnsi="宋体"/>
          <w:szCs w:val="21"/>
        </w:rPr>
        <w:t>生活</w:t>
      </w:r>
      <w:r>
        <w:rPr>
          <w:rFonts w:ascii="宋体" w:hAnsi="宋体"/>
          <w:szCs w:val="21"/>
        </w:rPr>
        <w:t>用电量占该行业</w:t>
      </w:r>
      <w:r>
        <w:rPr>
          <w:rFonts w:hint="eastAsia" w:ascii="宋体" w:hAnsi="宋体"/>
          <w:szCs w:val="21"/>
        </w:rPr>
        <w:t>和</w:t>
      </w:r>
      <w:r>
        <w:rPr>
          <w:rFonts w:ascii="宋体" w:hAnsi="宋体"/>
          <w:szCs w:val="21"/>
        </w:rPr>
        <w:t>居民生活</w:t>
      </w:r>
      <w:r>
        <w:rPr>
          <w:rFonts w:hint="eastAsia" w:ascii="宋体" w:hAnsi="宋体"/>
          <w:szCs w:val="21"/>
        </w:rPr>
        <w:t>能源</w:t>
      </w:r>
      <w:r>
        <w:rPr>
          <w:rFonts w:ascii="宋体" w:hAnsi="宋体"/>
          <w:szCs w:val="21"/>
        </w:rPr>
        <w:t>消费量的比重。</w:t>
      </w:r>
    </w:p>
    <w:p>
      <w:pPr>
        <w:spacing w:line="300" w:lineRule="exact"/>
        <w:jc w:val="left"/>
        <w:textAlignment w:val="center"/>
        <w:rPr>
          <w:rFonts w:ascii="宋体" w:hAnsi="宋体"/>
          <w:spacing w:val="8"/>
          <w:sz w:val="18"/>
          <w:szCs w:val="18"/>
        </w:rPr>
      </w:pPr>
      <w:r>
        <w:rPr>
          <w:rFonts w:hint="eastAsia" w:ascii="宋体" w:hAnsi="宋体"/>
          <w:spacing w:val="8"/>
          <w:sz w:val="18"/>
          <w:szCs w:val="18"/>
        </w:rPr>
        <w:t>表1</w:t>
      </w:r>
    </w:p>
    <w:tbl>
      <w:tblPr>
        <w:tblStyle w:val="25"/>
        <w:tblW w:w="9421"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544"/>
        <w:gridCol w:w="1110"/>
        <w:gridCol w:w="1409"/>
        <w:gridCol w:w="1208"/>
        <w:gridCol w:w="1093"/>
        <w:gridCol w:w="10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32" w:hRule="atLeast"/>
        </w:trPr>
        <w:tc>
          <w:tcPr>
            <w:tcW w:w="3544" w:type="dxa"/>
            <w:vAlign w:val="center"/>
          </w:tcPr>
          <w:p>
            <w:pPr>
              <w:spacing w:line="240" w:lineRule="exact"/>
              <w:jc w:val="center"/>
              <w:textAlignment w:val="center"/>
              <w:rPr>
                <w:spacing w:val="8"/>
                <w:sz w:val="18"/>
                <w:szCs w:val="18"/>
              </w:rPr>
            </w:pPr>
            <w:r>
              <w:rPr>
                <w:spacing w:val="8"/>
                <w:sz w:val="18"/>
                <w:szCs w:val="18"/>
              </w:rPr>
              <w:t>指标名称</w:t>
            </w:r>
          </w:p>
        </w:tc>
        <w:tc>
          <w:tcPr>
            <w:tcW w:w="1110" w:type="dxa"/>
            <w:tcMar>
              <w:left w:w="0" w:type="dxa"/>
              <w:right w:w="0" w:type="dxa"/>
            </w:tcMar>
            <w:vAlign w:val="center"/>
          </w:tcPr>
          <w:p>
            <w:pPr>
              <w:spacing w:line="220" w:lineRule="exact"/>
              <w:jc w:val="center"/>
              <w:textAlignment w:val="center"/>
              <w:rPr>
                <w:rFonts w:ascii="宋体" w:hAnsi="宋体"/>
                <w:kern w:val="13"/>
                <w:sz w:val="18"/>
                <w:szCs w:val="18"/>
              </w:rPr>
            </w:pPr>
            <w:r>
              <w:rPr>
                <w:rFonts w:hint="eastAsia" w:ascii="宋体" w:hAnsi="宋体"/>
                <w:kern w:val="13"/>
                <w:sz w:val="18"/>
                <w:szCs w:val="18"/>
              </w:rPr>
              <w:t>本期用电量</w:t>
            </w:r>
          </w:p>
          <w:p>
            <w:pPr>
              <w:spacing w:line="220" w:lineRule="exact"/>
              <w:jc w:val="center"/>
              <w:textAlignment w:val="center"/>
              <w:rPr>
                <w:rFonts w:ascii="宋体" w:hAnsi="宋体"/>
                <w:kern w:val="13"/>
                <w:sz w:val="18"/>
                <w:szCs w:val="18"/>
              </w:rPr>
            </w:pPr>
            <w:r>
              <w:rPr>
                <w:rFonts w:hint="eastAsia" w:ascii="宋体" w:hAnsi="宋体"/>
                <w:kern w:val="13"/>
                <w:sz w:val="18"/>
                <w:szCs w:val="18"/>
              </w:rPr>
              <w:t>（亿千瓦时）</w:t>
            </w:r>
          </w:p>
        </w:tc>
        <w:tc>
          <w:tcPr>
            <w:tcW w:w="1409" w:type="dxa"/>
            <w:vAlign w:val="center"/>
          </w:tcPr>
          <w:p>
            <w:pPr>
              <w:pStyle w:val="8"/>
              <w:spacing w:line="220" w:lineRule="exact"/>
              <w:ind w:left="-105" w:leftChars="-50" w:right="-105" w:rightChars="-50"/>
              <w:textAlignment w:val="center"/>
              <w:rPr>
                <w:kern w:val="13"/>
                <w:sz w:val="18"/>
                <w:szCs w:val="18"/>
              </w:rPr>
            </w:pPr>
            <w:r>
              <w:rPr>
                <w:rFonts w:hint="eastAsia"/>
                <w:kern w:val="13"/>
                <w:sz w:val="18"/>
                <w:szCs w:val="18"/>
              </w:rPr>
              <w:t>电力等价</w:t>
            </w:r>
          </w:p>
          <w:p>
            <w:pPr>
              <w:pStyle w:val="8"/>
              <w:spacing w:line="220" w:lineRule="exact"/>
              <w:ind w:left="-105" w:leftChars="-50" w:right="-105" w:rightChars="-50"/>
              <w:textAlignment w:val="center"/>
              <w:rPr>
                <w:kern w:val="13"/>
                <w:sz w:val="18"/>
                <w:szCs w:val="18"/>
              </w:rPr>
            </w:pPr>
            <w:r>
              <w:rPr>
                <w:rFonts w:hint="eastAsia"/>
                <w:kern w:val="13"/>
                <w:sz w:val="18"/>
                <w:szCs w:val="18"/>
              </w:rPr>
              <w:t>折标系数</w:t>
            </w:r>
          </w:p>
          <w:p>
            <w:pPr>
              <w:pStyle w:val="8"/>
              <w:spacing w:line="220" w:lineRule="exact"/>
              <w:ind w:left="-210" w:leftChars="-100" w:right="-210" w:rightChars="-100"/>
              <w:textAlignment w:val="center"/>
              <w:rPr>
                <w:spacing w:val="-4"/>
                <w:w w:val="90"/>
                <w:kern w:val="0"/>
                <w:sz w:val="18"/>
                <w:szCs w:val="18"/>
              </w:rPr>
            </w:pPr>
            <w:r>
              <w:rPr>
                <w:rFonts w:hint="eastAsia"/>
                <w:spacing w:val="-4"/>
                <w:w w:val="90"/>
                <w:kern w:val="0"/>
                <w:sz w:val="18"/>
                <w:szCs w:val="18"/>
              </w:rPr>
              <w:t>（克标准煤/千瓦时）</w:t>
            </w:r>
          </w:p>
        </w:tc>
        <w:tc>
          <w:tcPr>
            <w:tcW w:w="1208" w:type="dxa"/>
            <w:vAlign w:val="center"/>
          </w:tcPr>
          <w:p>
            <w:pPr>
              <w:spacing w:line="220" w:lineRule="exact"/>
              <w:ind w:left="-105" w:leftChars="-50" w:right="-105" w:rightChars="-50"/>
              <w:jc w:val="center"/>
              <w:textAlignment w:val="center"/>
              <w:rPr>
                <w:rFonts w:ascii="宋体" w:hAnsi="宋体"/>
                <w:kern w:val="13"/>
                <w:sz w:val="18"/>
                <w:szCs w:val="18"/>
              </w:rPr>
            </w:pPr>
            <w:r>
              <w:rPr>
                <w:rFonts w:hint="eastAsia" w:ascii="宋体" w:hAnsi="宋体"/>
                <w:kern w:val="13"/>
                <w:sz w:val="18"/>
                <w:szCs w:val="18"/>
              </w:rPr>
              <w:t>本期用电量</w:t>
            </w:r>
          </w:p>
          <w:p>
            <w:pPr>
              <w:spacing w:line="220" w:lineRule="exact"/>
              <w:ind w:left="-105" w:leftChars="-50" w:right="-105" w:rightChars="-50"/>
              <w:jc w:val="center"/>
              <w:textAlignment w:val="center"/>
              <w:rPr>
                <w:rFonts w:ascii="宋体" w:hAnsi="宋体"/>
                <w:kern w:val="13"/>
                <w:sz w:val="18"/>
                <w:szCs w:val="18"/>
              </w:rPr>
            </w:pPr>
            <w:r>
              <w:rPr>
                <w:rFonts w:hint="eastAsia" w:ascii="宋体" w:hAnsi="宋体"/>
                <w:kern w:val="13"/>
                <w:sz w:val="18"/>
                <w:szCs w:val="18"/>
              </w:rPr>
              <w:t>（折标准量）</w:t>
            </w:r>
          </w:p>
          <w:p>
            <w:pPr>
              <w:spacing w:line="220" w:lineRule="exact"/>
              <w:ind w:left="-105" w:leftChars="-50" w:right="-105" w:rightChars="-50"/>
              <w:jc w:val="center"/>
              <w:textAlignment w:val="center"/>
              <w:rPr>
                <w:rFonts w:ascii="宋体" w:hAnsi="宋体"/>
                <w:kern w:val="13"/>
                <w:sz w:val="18"/>
                <w:szCs w:val="18"/>
              </w:rPr>
            </w:pPr>
            <w:r>
              <w:rPr>
                <w:rFonts w:hint="eastAsia" w:ascii="宋体" w:hAnsi="宋体"/>
                <w:kern w:val="13"/>
                <w:sz w:val="18"/>
                <w:szCs w:val="18"/>
              </w:rPr>
              <w:t>（万吨标准煤）</w:t>
            </w:r>
          </w:p>
        </w:tc>
        <w:tc>
          <w:tcPr>
            <w:tcW w:w="1093" w:type="dxa"/>
            <w:vAlign w:val="center"/>
          </w:tcPr>
          <w:p>
            <w:pPr>
              <w:spacing w:line="220" w:lineRule="exact"/>
              <w:ind w:left="-105" w:leftChars="-50" w:right="-105" w:rightChars="-50" w:firstLine="90" w:firstLineChars="50"/>
              <w:jc w:val="left"/>
              <w:textAlignment w:val="center"/>
              <w:rPr>
                <w:rFonts w:ascii="宋体" w:hAnsi="宋体"/>
                <w:kern w:val="13"/>
                <w:sz w:val="18"/>
                <w:szCs w:val="18"/>
              </w:rPr>
            </w:pPr>
            <w:r>
              <w:rPr>
                <w:rFonts w:hint="eastAsia" w:ascii="宋体" w:hAnsi="宋体"/>
                <w:kern w:val="13"/>
                <w:sz w:val="18"/>
                <w:szCs w:val="18"/>
              </w:rPr>
              <w:t>上年用电量</w:t>
            </w:r>
          </w:p>
          <w:p>
            <w:pPr>
              <w:spacing w:line="220" w:lineRule="exact"/>
              <w:ind w:left="-105" w:leftChars="-50" w:right="-105" w:rightChars="-50" w:firstLine="90" w:firstLineChars="50"/>
              <w:jc w:val="left"/>
              <w:textAlignment w:val="center"/>
              <w:rPr>
                <w:rFonts w:ascii="宋体" w:hAnsi="宋体"/>
                <w:kern w:val="13"/>
                <w:sz w:val="18"/>
                <w:szCs w:val="18"/>
              </w:rPr>
            </w:pPr>
            <w:r>
              <w:rPr>
                <w:rFonts w:hint="eastAsia" w:ascii="宋体" w:hAnsi="宋体"/>
                <w:kern w:val="13"/>
                <w:sz w:val="18"/>
                <w:szCs w:val="18"/>
              </w:rPr>
              <w:t>占能源消费</w:t>
            </w:r>
          </w:p>
          <w:p>
            <w:pPr>
              <w:spacing w:line="220" w:lineRule="exact"/>
              <w:ind w:left="-105" w:leftChars="-50" w:right="-105" w:rightChars="-50" w:firstLine="90" w:firstLineChars="50"/>
              <w:jc w:val="left"/>
              <w:textAlignment w:val="center"/>
              <w:rPr>
                <w:rFonts w:ascii="宋体" w:hAnsi="宋体"/>
                <w:kern w:val="13"/>
                <w:sz w:val="18"/>
                <w:szCs w:val="18"/>
              </w:rPr>
            </w:pPr>
            <w:r>
              <w:rPr>
                <w:rFonts w:hint="eastAsia" w:ascii="宋体" w:hAnsi="宋体"/>
                <w:kern w:val="13"/>
                <w:sz w:val="18"/>
                <w:szCs w:val="18"/>
              </w:rPr>
              <w:t>量比重（%）</w:t>
            </w:r>
          </w:p>
        </w:tc>
        <w:tc>
          <w:tcPr>
            <w:tcW w:w="1057" w:type="dxa"/>
            <w:vAlign w:val="center"/>
          </w:tcPr>
          <w:p>
            <w:pPr>
              <w:spacing w:line="220" w:lineRule="exact"/>
              <w:ind w:left="-210" w:leftChars="-100" w:right="-210" w:rightChars="-100"/>
              <w:jc w:val="center"/>
              <w:textAlignment w:val="center"/>
              <w:rPr>
                <w:rFonts w:ascii="宋体" w:hAnsi="宋体"/>
                <w:kern w:val="13"/>
                <w:sz w:val="18"/>
                <w:szCs w:val="18"/>
              </w:rPr>
            </w:pPr>
            <w:r>
              <w:rPr>
                <w:rFonts w:hint="eastAsia" w:ascii="宋体" w:hAnsi="宋体"/>
                <w:kern w:val="13"/>
                <w:sz w:val="18"/>
                <w:szCs w:val="18"/>
              </w:rPr>
              <w:t>本期能源</w:t>
            </w:r>
          </w:p>
          <w:p>
            <w:pPr>
              <w:spacing w:line="220" w:lineRule="exact"/>
              <w:ind w:left="-210" w:leftChars="-100" w:right="-210" w:rightChars="-100"/>
              <w:jc w:val="center"/>
              <w:textAlignment w:val="center"/>
              <w:rPr>
                <w:rFonts w:ascii="宋体" w:hAnsi="宋体"/>
                <w:kern w:val="13"/>
                <w:sz w:val="18"/>
                <w:szCs w:val="18"/>
              </w:rPr>
            </w:pPr>
            <w:r>
              <w:rPr>
                <w:rFonts w:hint="eastAsia" w:ascii="宋体" w:hAnsi="宋体"/>
                <w:kern w:val="13"/>
                <w:sz w:val="18"/>
                <w:szCs w:val="18"/>
              </w:rPr>
              <w:t>消费量</w:t>
            </w:r>
          </w:p>
          <w:p>
            <w:pPr>
              <w:spacing w:line="220" w:lineRule="exact"/>
              <w:ind w:left="-210" w:leftChars="-100" w:right="-210" w:rightChars="-100"/>
              <w:jc w:val="center"/>
              <w:textAlignment w:val="center"/>
              <w:rPr>
                <w:rFonts w:ascii="宋体" w:hAnsi="宋体"/>
                <w:w w:val="90"/>
                <w:kern w:val="13"/>
                <w:sz w:val="18"/>
                <w:szCs w:val="18"/>
              </w:rPr>
            </w:pPr>
            <w:r>
              <w:rPr>
                <w:rFonts w:hint="eastAsia" w:ascii="宋体" w:hAnsi="宋体"/>
                <w:w w:val="90"/>
                <w:kern w:val="13"/>
                <w:sz w:val="18"/>
                <w:szCs w:val="18"/>
              </w:rPr>
              <w:t>（万吨标准煤）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25" w:hRule="atLeast"/>
        </w:trPr>
        <w:tc>
          <w:tcPr>
            <w:tcW w:w="3544" w:type="dxa"/>
            <w:vAlign w:val="center"/>
          </w:tcPr>
          <w:p>
            <w:pPr>
              <w:spacing w:line="240" w:lineRule="exact"/>
              <w:jc w:val="center"/>
              <w:textAlignment w:val="center"/>
              <w:rPr>
                <w:spacing w:val="8"/>
                <w:sz w:val="18"/>
                <w:szCs w:val="18"/>
              </w:rPr>
            </w:pPr>
            <w:r>
              <w:rPr>
                <w:spacing w:val="8"/>
                <w:sz w:val="18"/>
                <w:szCs w:val="18"/>
              </w:rPr>
              <w:t>甲</w:t>
            </w:r>
          </w:p>
        </w:tc>
        <w:tc>
          <w:tcPr>
            <w:tcW w:w="1110" w:type="dxa"/>
            <w:vAlign w:val="center"/>
          </w:tcPr>
          <w:p>
            <w:pPr>
              <w:spacing w:line="240" w:lineRule="exact"/>
              <w:jc w:val="center"/>
              <w:textAlignment w:val="center"/>
              <w:rPr>
                <w:spacing w:val="8"/>
                <w:sz w:val="18"/>
                <w:szCs w:val="18"/>
              </w:rPr>
            </w:pPr>
            <w:r>
              <w:rPr>
                <w:spacing w:val="8"/>
                <w:sz w:val="18"/>
                <w:szCs w:val="18"/>
              </w:rPr>
              <w:t>1</w:t>
            </w:r>
          </w:p>
        </w:tc>
        <w:tc>
          <w:tcPr>
            <w:tcW w:w="1409" w:type="dxa"/>
            <w:vAlign w:val="center"/>
          </w:tcPr>
          <w:p>
            <w:pPr>
              <w:spacing w:line="240" w:lineRule="exact"/>
              <w:jc w:val="center"/>
              <w:textAlignment w:val="center"/>
              <w:rPr>
                <w:spacing w:val="8"/>
                <w:sz w:val="18"/>
                <w:szCs w:val="18"/>
              </w:rPr>
            </w:pPr>
            <w:r>
              <w:rPr>
                <w:spacing w:val="8"/>
                <w:sz w:val="18"/>
                <w:szCs w:val="18"/>
              </w:rPr>
              <w:t>2</w:t>
            </w:r>
          </w:p>
        </w:tc>
        <w:tc>
          <w:tcPr>
            <w:tcW w:w="1208" w:type="dxa"/>
            <w:vAlign w:val="center"/>
          </w:tcPr>
          <w:p>
            <w:pPr>
              <w:spacing w:line="240" w:lineRule="exact"/>
              <w:jc w:val="center"/>
              <w:textAlignment w:val="center"/>
              <w:rPr>
                <w:spacing w:val="8"/>
                <w:sz w:val="18"/>
                <w:szCs w:val="18"/>
              </w:rPr>
            </w:pPr>
            <w:r>
              <w:rPr>
                <w:spacing w:val="8"/>
                <w:sz w:val="18"/>
                <w:szCs w:val="18"/>
              </w:rPr>
              <w:t>3</w:t>
            </w:r>
          </w:p>
        </w:tc>
        <w:tc>
          <w:tcPr>
            <w:tcW w:w="1093" w:type="dxa"/>
            <w:vAlign w:val="center"/>
          </w:tcPr>
          <w:p>
            <w:pPr>
              <w:spacing w:line="240" w:lineRule="exact"/>
              <w:jc w:val="center"/>
              <w:textAlignment w:val="center"/>
              <w:rPr>
                <w:spacing w:val="8"/>
                <w:sz w:val="18"/>
                <w:szCs w:val="18"/>
              </w:rPr>
            </w:pPr>
            <w:r>
              <w:rPr>
                <w:spacing w:val="8"/>
                <w:sz w:val="18"/>
                <w:szCs w:val="18"/>
              </w:rPr>
              <w:t>4</w:t>
            </w:r>
          </w:p>
        </w:tc>
        <w:tc>
          <w:tcPr>
            <w:tcW w:w="1057" w:type="dxa"/>
            <w:vAlign w:val="center"/>
          </w:tcPr>
          <w:p>
            <w:pPr>
              <w:spacing w:line="240" w:lineRule="exact"/>
              <w:jc w:val="center"/>
              <w:textAlignment w:val="center"/>
              <w:rPr>
                <w:spacing w:val="8"/>
                <w:sz w:val="18"/>
                <w:szCs w:val="18"/>
              </w:rPr>
            </w:pPr>
            <w:r>
              <w:rPr>
                <w:spacing w:val="8"/>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99" w:hRule="atLeast"/>
        </w:trPr>
        <w:tc>
          <w:tcPr>
            <w:tcW w:w="3544" w:type="dxa"/>
            <w:vAlign w:val="center"/>
          </w:tcPr>
          <w:p>
            <w:pPr>
              <w:spacing w:line="240" w:lineRule="exact"/>
              <w:ind w:left="-105" w:leftChars="-50"/>
              <w:textAlignment w:val="center"/>
              <w:rPr>
                <w:spacing w:val="8"/>
                <w:sz w:val="18"/>
                <w:szCs w:val="18"/>
              </w:rPr>
            </w:pPr>
            <w:r>
              <w:rPr>
                <w:spacing w:val="8"/>
                <w:sz w:val="18"/>
                <w:szCs w:val="18"/>
              </w:rPr>
              <w:t>农、林、牧、渔业</w:t>
            </w:r>
          </w:p>
          <w:p>
            <w:pPr>
              <w:spacing w:line="240" w:lineRule="exact"/>
              <w:ind w:left="-105" w:leftChars="-50"/>
              <w:textAlignment w:val="center"/>
              <w:rPr>
                <w:spacing w:val="8"/>
                <w:sz w:val="18"/>
                <w:szCs w:val="18"/>
              </w:rPr>
            </w:pPr>
            <w:r>
              <w:rPr>
                <w:spacing w:val="8"/>
                <w:sz w:val="18"/>
                <w:szCs w:val="18"/>
              </w:rPr>
              <w:t>建筑业</w:t>
            </w:r>
          </w:p>
          <w:p>
            <w:pPr>
              <w:spacing w:line="240" w:lineRule="exact"/>
              <w:ind w:left="-105" w:leftChars="-50"/>
              <w:textAlignment w:val="center"/>
              <w:rPr>
                <w:spacing w:val="8"/>
                <w:sz w:val="18"/>
                <w:szCs w:val="18"/>
              </w:rPr>
            </w:pPr>
            <w:r>
              <w:rPr>
                <w:spacing w:val="8"/>
                <w:sz w:val="18"/>
                <w:szCs w:val="18"/>
              </w:rPr>
              <w:t>服务业</w:t>
            </w:r>
            <w:r>
              <w:rPr>
                <w:rFonts w:hint="eastAsia"/>
                <w:kern w:val="0"/>
                <w:sz w:val="18"/>
                <w:szCs w:val="18"/>
                <w:vertAlign w:val="superscript"/>
              </w:rPr>
              <w:t>*</w:t>
            </w:r>
            <w:r>
              <w:rPr>
                <w:rFonts w:hint="eastAsia"/>
                <w:spacing w:val="8"/>
                <w:sz w:val="18"/>
                <w:szCs w:val="18"/>
              </w:rPr>
              <w:t>（</w:t>
            </w:r>
            <w:r>
              <w:rPr>
                <w:spacing w:val="8"/>
                <w:sz w:val="18"/>
                <w:szCs w:val="18"/>
              </w:rPr>
              <w:t>不含交通运输、仓储和邮政业</w:t>
            </w:r>
            <w:r>
              <w:rPr>
                <w:rFonts w:hint="eastAsia"/>
                <w:spacing w:val="8"/>
                <w:sz w:val="18"/>
                <w:szCs w:val="18"/>
              </w:rPr>
              <w:t>）</w:t>
            </w:r>
          </w:p>
          <w:p>
            <w:pPr>
              <w:spacing w:line="240" w:lineRule="exact"/>
              <w:ind w:left="-105" w:leftChars="-50"/>
              <w:textAlignment w:val="center"/>
              <w:rPr>
                <w:spacing w:val="8"/>
                <w:sz w:val="18"/>
                <w:szCs w:val="18"/>
              </w:rPr>
            </w:pPr>
            <w:r>
              <w:rPr>
                <w:rFonts w:hint="eastAsia"/>
                <w:spacing w:val="8"/>
                <w:sz w:val="18"/>
                <w:szCs w:val="18"/>
              </w:rPr>
              <w:t>城镇</w:t>
            </w:r>
            <w:r>
              <w:rPr>
                <w:spacing w:val="8"/>
                <w:sz w:val="18"/>
                <w:szCs w:val="18"/>
              </w:rPr>
              <w:t>居民生活</w:t>
            </w:r>
          </w:p>
          <w:p>
            <w:pPr>
              <w:spacing w:line="240" w:lineRule="exact"/>
              <w:ind w:left="-105" w:leftChars="-50"/>
              <w:textAlignment w:val="center"/>
              <w:rPr>
                <w:spacing w:val="8"/>
                <w:sz w:val="18"/>
                <w:szCs w:val="18"/>
              </w:rPr>
            </w:pPr>
            <w:r>
              <w:rPr>
                <w:rFonts w:hint="eastAsia"/>
                <w:spacing w:val="8"/>
                <w:sz w:val="18"/>
                <w:szCs w:val="18"/>
              </w:rPr>
              <w:t>乡村</w:t>
            </w:r>
            <w:r>
              <w:rPr>
                <w:spacing w:val="8"/>
                <w:sz w:val="18"/>
                <w:szCs w:val="18"/>
              </w:rPr>
              <w:t>居民生活</w:t>
            </w:r>
          </w:p>
        </w:tc>
        <w:tc>
          <w:tcPr>
            <w:tcW w:w="1110" w:type="dxa"/>
            <w:vAlign w:val="center"/>
          </w:tcPr>
          <w:p>
            <w:pPr>
              <w:spacing w:line="240" w:lineRule="exact"/>
              <w:jc w:val="center"/>
              <w:textAlignment w:val="center"/>
              <w:rPr>
                <w:spacing w:val="8"/>
                <w:sz w:val="18"/>
                <w:szCs w:val="18"/>
              </w:rPr>
            </w:pPr>
          </w:p>
        </w:tc>
        <w:tc>
          <w:tcPr>
            <w:tcW w:w="1409" w:type="dxa"/>
            <w:vAlign w:val="center"/>
          </w:tcPr>
          <w:p>
            <w:pPr>
              <w:spacing w:line="240" w:lineRule="exact"/>
              <w:jc w:val="center"/>
              <w:textAlignment w:val="center"/>
              <w:rPr>
                <w:spacing w:val="8"/>
                <w:sz w:val="18"/>
                <w:szCs w:val="18"/>
              </w:rPr>
            </w:pPr>
          </w:p>
        </w:tc>
        <w:tc>
          <w:tcPr>
            <w:tcW w:w="1208" w:type="dxa"/>
            <w:vAlign w:val="center"/>
          </w:tcPr>
          <w:p>
            <w:pPr>
              <w:spacing w:line="240" w:lineRule="exact"/>
              <w:jc w:val="center"/>
              <w:textAlignment w:val="center"/>
              <w:rPr>
                <w:spacing w:val="8"/>
                <w:sz w:val="18"/>
                <w:szCs w:val="18"/>
              </w:rPr>
            </w:pPr>
            <w:r>
              <w:rPr>
                <w:spacing w:val="8"/>
                <w:sz w:val="18"/>
                <w:szCs w:val="18"/>
              </w:rPr>
              <w:t>3=1*2</w:t>
            </w:r>
          </w:p>
        </w:tc>
        <w:tc>
          <w:tcPr>
            <w:tcW w:w="1093" w:type="dxa"/>
            <w:vAlign w:val="center"/>
          </w:tcPr>
          <w:p>
            <w:pPr>
              <w:spacing w:line="240" w:lineRule="exact"/>
              <w:jc w:val="center"/>
              <w:textAlignment w:val="center"/>
              <w:rPr>
                <w:spacing w:val="8"/>
                <w:sz w:val="18"/>
                <w:szCs w:val="18"/>
              </w:rPr>
            </w:pPr>
          </w:p>
        </w:tc>
        <w:tc>
          <w:tcPr>
            <w:tcW w:w="1057" w:type="dxa"/>
            <w:vAlign w:val="center"/>
          </w:tcPr>
          <w:p>
            <w:pPr>
              <w:spacing w:line="240" w:lineRule="exact"/>
              <w:jc w:val="center"/>
              <w:textAlignment w:val="center"/>
              <w:rPr>
                <w:spacing w:val="8"/>
                <w:sz w:val="18"/>
                <w:szCs w:val="18"/>
              </w:rPr>
            </w:pPr>
            <w:r>
              <w:rPr>
                <w:spacing w:val="8"/>
                <w:sz w:val="18"/>
                <w:szCs w:val="18"/>
              </w:rPr>
              <w:t>5=3/4</w:t>
            </w:r>
          </w:p>
        </w:tc>
      </w:tr>
    </w:tbl>
    <w:p>
      <w:pPr>
        <w:spacing w:line="360" w:lineRule="exact"/>
        <w:ind w:right="-40" w:firstLine="420" w:firstLineChars="200"/>
        <w:textAlignment w:val="center"/>
        <w:rPr>
          <w:rFonts w:ascii="宋体" w:hAnsi="宋体"/>
          <w:szCs w:val="21"/>
        </w:rPr>
      </w:pPr>
      <w:r>
        <w:rPr>
          <w:rFonts w:hint="eastAsia" w:ascii="宋体" w:hAnsi="宋体"/>
          <w:szCs w:val="21"/>
        </w:rPr>
        <w:t>2</w:t>
      </w:r>
      <w:r>
        <w:rPr>
          <w:rFonts w:ascii="宋体" w:hAnsi="宋体"/>
          <w:szCs w:val="21"/>
        </w:rPr>
        <w:t>.核算方法</w:t>
      </w:r>
      <w:r>
        <w:rPr>
          <w:rFonts w:hint="eastAsia" w:ascii="宋体" w:hAnsi="宋体"/>
          <w:szCs w:val="21"/>
        </w:rPr>
        <w:t>二</w:t>
      </w:r>
      <w:r>
        <w:rPr>
          <w:rFonts w:hint="eastAsia"/>
          <w:szCs w:val="21"/>
        </w:rPr>
        <w:t>（</w:t>
      </w:r>
      <w:r>
        <w:rPr>
          <w:rFonts w:hint="eastAsia" w:ascii="宋体" w:hAnsi="宋体"/>
          <w:szCs w:val="21"/>
        </w:rPr>
        <w:t>单位增加值能耗法</w:t>
      </w:r>
      <w:r>
        <w:rPr>
          <w:rFonts w:hint="eastAsia"/>
          <w:szCs w:val="21"/>
        </w:rPr>
        <w:t>）</w:t>
      </w:r>
      <w:r>
        <w:rPr>
          <w:szCs w:val="21"/>
        </w:rPr>
        <w:t>：</w:t>
      </w:r>
      <w:r>
        <w:rPr>
          <w:rFonts w:ascii="宋体" w:hAnsi="宋体"/>
          <w:szCs w:val="21"/>
        </w:rPr>
        <w:t>使用本</w:t>
      </w:r>
      <w:r>
        <w:rPr>
          <w:rFonts w:hint="eastAsia" w:ascii="宋体" w:hAnsi="宋体"/>
          <w:szCs w:val="21"/>
        </w:rPr>
        <w:t>期</w:t>
      </w:r>
      <w:r>
        <w:rPr>
          <w:rFonts w:ascii="宋体" w:hAnsi="宋体"/>
          <w:szCs w:val="21"/>
        </w:rPr>
        <w:t>增加值</w:t>
      </w:r>
      <w:r>
        <w:rPr>
          <w:rFonts w:hint="eastAsia" w:ascii="宋体" w:hAnsi="宋体"/>
          <w:szCs w:val="21"/>
        </w:rPr>
        <w:t>、</w:t>
      </w:r>
      <w:r>
        <w:rPr>
          <w:rFonts w:ascii="宋体" w:hAnsi="宋体"/>
          <w:szCs w:val="21"/>
        </w:rPr>
        <w:t>上年单位增加值能耗等</w:t>
      </w:r>
      <w:r>
        <w:rPr>
          <w:rFonts w:hint="eastAsia" w:ascii="宋体" w:hAnsi="宋体"/>
          <w:szCs w:val="21"/>
        </w:rPr>
        <w:t>核算</w:t>
      </w:r>
      <w:r>
        <w:rPr>
          <w:rFonts w:ascii="宋体" w:hAnsi="宋体"/>
          <w:szCs w:val="21"/>
        </w:rPr>
        <w:t>。</w:t>
      </w:r>
    </w:p>
    <w:p>
      <w:pPr>
        <w:spacing w:line="360" w:lineRule="exact"/>
        <w:ind w:right="-40" w:firstLine="430" w:firstLineChars="205"/>
        <w:textAlignment w:val="center"/>
        <w:rPr>
          <w:rFonts w:ascii="宋体" w:hAnsi="宋体"/>
          <w:szCs w:val="21"/>
        </w:rPr>
      </w:pPr>
      <w:r>
        <w:rPr>
          <w:rFonts w:ascii="宋体" w:hAnsi="宋体"/>
          <w:szCs w:val="21"/>
        </w:rPr>
        <w:t>本期能源消费量</w:t>
      </w:r>
      <w:r>
        <w:rPr>
          <w:rFonts w:hint="eastAsia" w:ascii="宋体" w:hAnsi="宋体"/>
          <w:szCs w:val="21"/>
        </w:rPr>
        <w:t>=</w:t>
      </w:r>
      <w:r>
        <w:rPr>
          <w:rFonts w:ascii="宋体" w:hAnsi="宋体"/>
          <w:szCs w:val="21"/>
        </w:rPr>
        <w:t>本</w:t>
      </w:r>
      <w:r>
        <w:rPr>
          <w:rFonts w:hint="eastAsia" w:ascii="宋体" w:hAnsi="宋体"/>
          <w:szCs w:val="21"/>
        </w:rPr>
        <w:t>期增加值×</w:t>
      </w:r>
      <w:r>
        <w:rPr>
          <w:rFonts w:ascii="宋体" w:hAnsi="宋体"/>
          <w:szCs w:val="21"/>
        </w:rPr>
        <w:t>上年单位增加值能耗</w:t>
      </w:r>
    </w:p>
    <w:p>
      <w:pPr>
        <w:spacing w:line="360" w:lineRule="exact"/>
        <w:ind w:right="-40" w:firstLine="430" w:firstLineChars="205"/>
        <w:textAlignment w:val="center"/>
        <w:rPr>
          <w:rFonts w:ascii="宋体" w:hAnsi="宋体"/>
          <w:szCs w:val="21"/>
        </w:rPr>
      </w:pPr>
      <w:r>
        <w:rPr>
          <w:rFonts w:hint="eastAsia" w:ascii="宋体" w:hAnsi="宋体"/>
          <w:szCs w:val="21"/>
        </w:rPr>
        <w:t xml:space="preserve">              =</w:t>
      </w:r>
      <w:r>
        <w:rPr>
          <w:rFonts w:ascii="宋体" w:hAnsi="宋体"/>
          <w:szCs w:val="21"/>
        </w:rPr>
        <w:t>本</w:t>
      </w:r>
      <w:r>
        <w:rPr>
          <w:rFonts w:hint="eastAsia" w:ascii="宋体" w:hAnsi="宋体"/>
          <w:szCs w:val="21"/>
        </w:rPr>
        <w:t>期增加值×</w:t>
      </w:r>
      <w:r>
        <w:rPr>
          <w:szCs w:val="21"/>
        </w:rPr>
        <w:t>（</w:t>
      </w:r>
      <w:r>
        <w:rPr>
          <w:rFonts w:ascii="宋体" w:hAnsi="宋体"/>
          <w:szCs w:val="21"/>
        </w:rPr>
        <w:t>上年能源消费量/上年增加值</w:t>
      </w:r>
      <w:r>
        <w:rPr>
          <w:szCs w:val="21"/>
        </w:rPr>
        <w:t>）</w:t>
      </w:r>
    </w:p>
    <w:p>
      <w:pPr>
        <w:spacing w:line="360" w:lineRule="exact"/>
        <w:ind w:right="-40" w:firstLine="430" w:firstLineChars="205"/>
        <w:textAlignment w:val="center"/>
        <w:rPr>
          <w:rFonts w:ascii="宋体" w:hAnsi="宋体"/>
          <w:szCs w:val="21"/>
        </w:rPr>
      </w:pPr>
      <w:r>
        <w:rPr>
          <w:rFonts w:hint="eastAsia" w:ascii="宋体" w:hAnsi="宋体"/>
          <w:szCs w:val="21"/>
        </w:rPr>
        <w:t>其中</w:t>
      </w:r>
      <w:r>
        <w:rPr>
          <w:rFonts w:hint="eastAsia"/>
          <w:szCs w:val="21"/>
        </w:rPr>
        <w:t>：</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1</w:t>
      </w:r>
      <w:r>
        <w:rPr>
          <w:rFonts w:hint="eastAsia"/>
          <w:szCs w:val="21"/>
        </w:rPr>
        <w:t>）“</w:t>
      </w:r>
      <w:r>
        <w:rPr>
          <w:rFonts w:ascii="宋体" w:hAnsi="宋体"/>
          <w:szCs w:val="21"/>
        </w:rPr>
        <w:t>本</w:t>
      </w:r>
      <w:r>
        <w:rPr>
          <w:rFonts w:hint="eastAsia" w:ascii="宋体" w:hAnsi="宋体"/>
          <w:szCs w:val="21"/>
        </w:rPr>
        <w:t>期增加值</w:t>
      </w:r>
      <w:r>
        <w:rPr>
          <w:rFonts w:hint="eastAsia"/>
          <w:szCs w:val="21"/>
        </w:rPr>
        <w:t>”</w:t>
      </w:r>
      <w:r>
        <w:rPr>
          <w:rFonts w:hint="eastAsia" w:ascii="宋体" w:hAnsi="宋体"/>
          <w:szCs w:val="21"/>
        </w:rPr>
        <w:t>、</w:t>
      </w:r>
      <w:r>
        <w:rPr>
          <w:rFonts w:hint="eastAsia"/>
          <w:szCs w:val="21"/>
        </w:rPr>
        <w:t>“</w:t>
      </w:r>
      <w:r>
        <w:rPr>
          <w:rFonts w:hint="eastAsia" w:ascii="宋体" w:hAnsi="宋体"/>
          <w:szCs w:val="21"/>
        </w:rPr>
        <w:t>上年增加值</w:t>
      </w:r>
      <w:r>
        <w:rPr>
          <w:rFonts w:hint="eastAsia"/>
          <w:szCs w:val="21"/>
        </w:rPr>
        <w:t>”</w:t>
      </w:r>
      <w:r>
        <w:rPr>
          <w:rFonts w:hint="eastAsia" w:ascii="宋体" w:hAnsi="宋体"/>
          <w:szCs w:val="21"/>
        </w:rPr>
        <w:t>是指各行</w:t>
      </w:r>
      <w:r>
        <w:rPr>
          <w:rFonts w:ascii="宋体" w:hAnsi="宋体"/>
          <w:szCs w:val="21"/>
        </w:rPr>
        <w:t>业本期和上年</w:t>
      </w:r>
      <w:r>
        <w:rPr>
          <w:rFonts w:hint="eastAsia" w:ascii="宋体" w:hAnsi="宋体"/>
          <w:szCs w:val="21"/>
        </w:rPr>
        <w:t>增加值。</w:t>
      </w:r>
    </w:p>
    <w:p>
      <w:pPr>
        <w:spacing w:line="360" w:lineRule="exact"/>
        <w:ind w:right="-40" w:firstLine="430" w:firstLineChars="205"/>
        <w:textAlignment w:val="center"/>
        <w:rPr>
          <w:spacing w:val="8"/>
          <w:sz w:val="18"/>
          <w:szCs w:val="18"/>
        </w:rPr>
      </w:pPr>
      <w:r>
        <w:rPr>
          <w:rFonts w:hint="eastAsia"/>
          <w:szCs w:val="21"/>
        </w:rPr>
        <w:t>（</w:t>
      </w:r>
      <w:r>
        <w:rPr>
          <w:rFonts w:ascii="宋体" w:hAnsi="宋体"/>
          <w:szCs w:val="21"/>
        </w:rPr>
        <w:t>2</w:t>
      </w:r>
      <w:r>
        <w:rPr>
          <w:rFonts w:hint="eastAsia"/>
          <w:szCs w:val="21"/>
        </w:rPr>
        <w:t>）“</w:t>
      </w:r>
      <w:r>
        <w:rPr>
          <w:rFonts w:hint="eastAsia" w:ascii="宋体" w:hAnsi="宋体"/>
          <w:szCs w:val="21"/>
        </w:rPr>
        <w:t>上年能源消费量</w:t>
      </w:r>
      <w:r>
        <w:rPr>
          <w:rFonts w:hint="eastAsia"/>
          <w:szCs w:val="21"/>
        </w:rPr>
        <w:t>”</w:t>
      </w:r>
      <w:r>
        <w:rPr>
          <w:rFonts w:hint="eastAsia" w:ascii="宋体" w:hAnsi="宋体"/>
          <w:szCs w:val="21"/>
        </w:rPr>
        <w:t>是指上年能源平衡表中各行业能源消费量。</w:t>
      </w:r>
    </w:p>
    <w:p>
      <w:pPr>
        <w:spacing w:line="360" w:lineRule="exact"/>
        <w:ind w:right="-40"/>
        <w:jc w:val="left"/>
        <w:textAlignment w:val="center"/>
        <w:rPr>
          <w:spacing w:val="8"/>
          <w:sz w:val="18"/>
          <w:szCs w:val="18"/>
        </w:rPr>
      </w:pPr>
    </w:p>
    <w:p>
      <w:pPr>
        <w:widowControl/>
        <w:jc w:val="left"/>
        <w:textAlignment w:val="center"/>
      </w:pPr>
    </w:p>
    <w:p>
      <w:pPr>
        <w:spacing w:line="300" w:lineRule="exact"/>
        <w:jc w:val="left"/>
        <w:textAlignment w:val="center"/>
        <w:rPr>
          <w:rFonts w:ascii="宋体" w:hAnsi="宋体" w:cs="宋体"/>
          <w:spacing w:val="8"/>
          <w:sz w:val="18"/>
          <w:szCs w:val="18"/>
        </w:rPr>
      </w:pPr>
      <w:r>
        <w:rPr>
          <w:spacing w:val="8"/>
          <w:sz w:val="18"/>
          <w:szCs w:val="18"/>
        </w:rPr>
        <w:t>表</w:t>
      </w:r>
      <w:r>
        <w:rPr>
          <w:rFonts w:ascii="宋体" w:hAnsi="宋体"/>
          <w:spacing w:val="8"/>
          <w:sz w:val="18"/>
          <w:szCs w:val="18"/>
        </w:rPr>
        <w:t>2</w:t>
      </w:r>
    </w:p>
    <w:tbl>
      <w:tblPr>
        <w:tblStyle w:val="25"/>
        <w:tblW w:w="9420"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544"/>
        <w:gridCol w:w="1254"/>
        <w:gridCol w:w="885"/>
        <w:gridCol w:w="1425"/>
        <w:gridCol w:w="1007"/>
        <w:gridCol w:w="130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55" w:hRule="atLeast"/>
        </w:trPr>
        <w:tc>
          <w:tcPr>
            <w:tcW w:w="3544" w:type="dxa"/>
            <w:vAlign w:val="center"/>
          </w:tcPr>
          <w:p>
            <w:pPr>
              <w:spacing w:line="240" w:lineRule="exact"/>
              <w:jc w:val="center"/>
              <w:textAlignment w:val="center"/>
              <w:rPr>
                <w:spacing w:val="8"/>
                <w:sz w:val="18"/>
                <w:szCs w:val="18"/>
              </w:rPr>
            </w:pPr>
            <w:r>
              <w:rPr>
                <w:spacing w:val="8"/>
                <w:sz w:val="18"/>
                <w:szCs w:val="18"/>
              </w:rPr>
              <w:t>指标名称</w:t>
            </w:r>
          </w:p>
        </w:tc>
        <w:tc>
          <w:tcPr>
            <w:tcW w:w="1254" w:type="dxa"/>
            <w:tcBorders>
              <w:bottom w:val="single" w:color="auto" w:sz="2" w:space="0"/>
            </w:tcBorders>
            <w:vAlign w:val="center"/>
          </w:tcPr>
          <w:p>
            <w:pPr>
              <w:pStyle w:val="17"/>
              <w:spacing w:line="220" w:lineRule="exact"/>
              <w:jc w:val="center"/>
              <w:textAlignment w:val="center"/>
              <w:rPr>
                <w:rFonts w:ascii="Times New Roman" w:hAnsi="Times New Roman"/>
                <w:color w:val="auto"/>
                <w:sz w:val="18"/>
                <w:szCs w:val="18"/>
              </w:rPr>
            </w:pPr>
            <w:r>
              <w:rPr>
                <w:rFonts w:ascii="Times New Roman" w:hAnsi="Times New Roman"/>
                <w:color w:val="auto"/>
                <w:sz w:val="18"/>
                <w:szCs w:val="18"/>
              </w:rPr>
              <w:t>上年能源</w:t>
            </w:r>
          </w:p>
          <w:p>
            <w:pPr>
              <w:pStyle w:val="17"/>
              <w:spacing w:line="220" w:lineRule="exact"/>
              <w:jc w:val="center"/>
              <w:textAlignment w:val="center"/>
              <w:rPr>
                <w:rFonts w:ascii="Times New Roman" w:hAnsi="Times New Roman"/>
                <w:color w:val="auto"/>
                <w:sz w:val="18"/>
                <w:szCs w:val="18"/>
              </w:rPr>
            </w:pPr>
            <w:r>
              <w:rPr>
                <w:rFonts w:ascii="Times New Roman" w:hAnsi="Times New Roman"/>
                <w:color w:val="auto"/>
                <w:sz w:val="18"/>
                <w:szCs w:val="18"/>
              </w:rPr>
              <w:t>消费量</w:t>
            </w:r>
          </w:p>
          <w:p>
            <w:pPr>
              <w:pStyle w:val="17"/>
              <w:spacing w:line="220" w:lineRule="exact"/>
              <w:ind w:left="-105" w:leftChars="-50" w:right="-105" w:rightChars="-50"/>
              <w:jc w:val="center"/>
              <w:textAlignment w:val="center"/>
              <w:rPr>
                <w:rFonts w:ascii="Times New Roman" w:hAnsi="Times New Roman"/>
                <w:color w:val="auto"/>
                <w:sz w:val="18"/>
                <w:szCs w:val="18"/>
              </w:rPr>
            </w:pPr>
            <w:r>
              <w:rPr>
                <w:rFonts w:ascii="Times New Roman" w:hAnsi="Times New Roman"/>
                <w:color w:val="auto"/>
                <w:kern w:val="0"/>
                <w:sz w:val="18"/>
                <w:szCs w:val="18"/>
              </w:rPr>
              <w:t>（</w:t>
            </w:r>
            <w:r>
              <w:rPr>
                <w:rFonts w:hint="eastAsia" w:ascii="Times New Roman" w:hAnsi="Times New Roman"/>
                <w:color w:val="auto"/>
                <w:kern w:val="0"/>
                <w:sz w:val="18"/>
                <w:szCs w:val="18"/>
              </w:rPr>
              <w:t>万吨标准</w:t>
            </w:r>
            <w:r>
              <w:rPr>
                <w:rFonts w:ascii="Times New Roman" w:hAnsi="Times New Roman"/>
                <w:color w:val="auto"/>
                <w:kern w:val="0"/>
                <w:sz w:val="18"/>
                <w:szCs w:val="18"/>
              </w:rPr>
              <w:t>煤</w:t>
            </w:r>
            <w:r>
              <w:rPr>
                <w:rFonts w:hint="eastAsia" w:ascii="Times New Roman" w:hAnsi="Times New Roman"/>
                <w:color w:val="auto"/>
                <w:kern w:val="0"/>
                <w:sz w:val="18"/>
                <w:szCs w:val="18"/>
              </w:rPr>
              <w:t>）</w:t>
            </w:r>
          </w:p>
        </w:tc>
        <w:tc>
          <w:tcPr>
            <w:tcW w:w="885" w:type="dxa"/>
            <w:tcBorders>
              <w:bottom w:val="single" w:color="auto" w:sz="2" w:space="0"/>
            </w:tcBorders>
            <w:vAlign w:val="center"/>
          </w:tcPr>
          <w:p>
            <w:pPr>
              <w:spacing w:line="220" w:lineRule="exact"/>
              <w:jc w:val="center"/>
              <w:textAlignment w:val="center"/>
              <w:rPr>
                <w:sz w:val="18"/>
                <w:szCs w:val="18"/>
              </w:rPr>
            </w:pPr>
            <w:r>
              <w:rPr>
                <w:sz w:val="18"/>
                <w:szCs w:val="18"/>
              </w:rPr>
              <w:t xml:space="preserve">上  </w:t>
            </w:r>
            <w:r>
              <w:rPr>
                <w:rFonts w:hint="eastAsia"/>
                <w:sz w:val="18"/>
                <w:szCs w:val="18"/>
              </w:rPr>
              <w:t>年</w:t>
            </w:r>
          </w:p>
          <w:p>
            <w:pPr>
              <w:spacing w:line="220" w:lineRule="exact"/>
              <w:jc w:val="center"/>
              <w:textAlignment w:val="center"/>
              <w:rPr>
                <w:sz w:val="18"/>
                <w:szCs w:val="18"/>
              </w:rPr>
            </w:pPr>
            <w:r>
              <w:rPr>
                <w:rFonts w:hint="eastAsia"/>
                <w:sz w:val="18"/>
                <w:szCs w:val="18"/>
              </w:rPr>
              <w:t>增加值</w:t>
            </w:r>
          </w:p>
          <w:p>
            <w:pPr>
              <w:spacing w:line="220" w:lineRule="exact"/>
              <w:jc w:val="center"/>
              <w:textAlignment w:val="center"/>
              <w:rPr>
                <w:sz w:val="18"/>
                <w:szCs w:val="18"/>
              </w:rPr>
            </w:pPr>
            <w:r>
              <w:rPr>
                <w:rFonts w:hint="eastAsia"/>
                <w:sz w:val="18"/>
                <w:szCs w:val="18"/>
              </w:rPr>
              <w:t>（亿元）</w:t>
            </w:r>
          </w:p>
        </w:tc>
        <w:tc>
          <w:tcPr>
            <w:tcW w:w="1425" w:type="dxa"/>
            <w:tcBorders>
              <w:bottom w:val="single" w:color="auto" w:sz="2" w:space="0"/>
            </w:tcBorders>
            <w:vAlign w:val="center"/>
          </w:tcPr>
          <w:p>
            <w:pPr>
              <w:spacing w:line="220" w:lineRule="exact"/>
              <w:ind w:left="-105" w:leftChars="-50" w:right="-105" w:rightChars="-50"/>
              <w:jc w:val="center"/>
              <w:textAlignment w:val="center"/>
              <w:rPr>
                <w:sz w:val="18"/>
                <w:szCs w:val="18"/>
              </w:rPr>
            </w:pPr>
            <w:r>
              <w:rPr>
                <w:rFonts w:hint="eastAsia"/>
                <w:spacing w:val="30"/>
                <w:kern w:val="0"/>
                <w:sz w:val="18"/>
                <w:szCs w:val="18"/>
              </w:rPr>
              <w:t>上年单</w:t>
            </w:r>
            <w:r>
              <w:rPr>
                <w:rFonts w:hint="eastAsia"/>
                <w:kern w:val="0"/>
                <w:sz w:val="18"/>
                <w:szCs w:val="18"/>
              </w:rPr>
              <w:t>位</w:t>
            </w:r>
          </w:p>
          <w:p>
            <w:pPr>
              <w:spacing w:line="220" w:lineRule="exact"/>
              <w:ind w:left="-105" w:leftChars="-50" w:right="-105" w:rightChars="-50"/>
              <w:jc w:val="center"/>
              <w:textAlignment w:val="center"/>
              <w:rPr>
                <w:sz w:val="18"/>
                <w:szCs w:val="18"/>
              </w:rPr>
            </w:pPr>
            <w:r>
              <w:rPr>
                <w:rFonts w:hint="eastAsia"/>
                <w:sz w:val="18"/>
                <w:szCs w:val="18"/>
              </w:rPr>
              <w:t>增加值能耗</w:t>
            </w:r>
          </w:p>
          <w:p>
            <w:pPr>
              <w:spacing w:line="220" w:lineRule="exact"/>
              <w:ind w:left="-105" w:leftChars="-50" w:right="-105" w:rightChars="-50"/>
              <w:jc w:val="center"/>
              <w:textAlignment w:val="center"/>
              <w:rPr>
                <w:sz w:val="18"/>
                <w:szCs w:val="18"/>
              </w:rPr>
            </w:pPr>
            <w:r>
              <w:rPr>
                <w:rFonts w:hint="eastAsia"/>
                <w:sz w:val="18"/>
                <w:szCs w:val="18"/>
              </w:rPr>
              <w:t>（吨标准煤</w:t>
            </w:r>
            <w:r>
              <w:rPr>
                <w:sz w:val="18"/>
                <w:szCs w:val="18"/>
              </w:rPr>
              <w:t>/</w:t>
            </w:r>
            <w:r>
              <w:rPr>
                <w:rFonts w:hint="eastAsia"/>
                <w:sz w:val="18"/>
                <w:szCs w:val="18"/>
              </w:rPr>
              <w:t>万元）</w:t>
            </w:r>
          </w:p>
        </w:tc>
        <w:tc>
          <w:tcPr>
            <w:tcW w:w="1007" w:type="dxa"/>
            <w:tcBorders>
              <w:bottom w:val="single" w:color="auto" w:sz="2" w:space="0"/>
            </w:tcBorders>
            <w:vAlign w:val="center"/>
          </w:tcPr>
          <w:p>
            <w:pPr>
              <w:spacing w:line="220" w:lineRule="exact"/>
              <w:jc w:val="center"/>
              <w:textAlignment w:val="center"/>
              <w:rPr>
                <w:sz w:val="18"/>
                <w:szCs w:val="18"/>
              </w:rPr>
            </w:pPr>
            <w:r>
              <w:rPr>
                <w:rFonts w:hint="eastAsia"/>
                <w:sz w:val="18"/>
                <w:szCs w:val="18"/>
              </w:rPr>
              <w:t>本</w:t>
            </w:r>
            <w:r>
              <w:rPr>
                <w:sz w:val="18"/>
                <w:szCs w:val="18"/>
              </w:rPr>
              <w:t xml:space="preserve">  </w:t>
            </w:r>
            <w:r>
              <w:rPr>
                <w:rFonts w:hint="eastAsia"/>
                <w:sz w:val="18"/>
                <w:szCs w:val="18"/>
              </w:rPr>
              <w:t>期</w:t>
            </w:r>
          </w:p>
          <w:p>
            <w:pPr>
              <w:spacing w:line="220" w:lineRule="exact"/>
              <w:jc w:val="center"/>
              <w:textAlignment w:val="center"/>
              <w:rPr>
                <w:sz w:val="18"/>
                <w:szCs w:val="18"/>
              </w:rPr>
            </w:pPr>
            <w:r>
              <w:rPr>
                <w:rFonts w:hint="eastAsia"/>
                <w:sz w:val="18"/>
                <w:szCs w:val="18"/>
              </w:rPr>
              <w:t>增加值</w:t>
            </w:r>
          </w:p>
          <w:p>
            <w:pPr>
              <w:spacing w:line="220" w:lineRule="exact"/>
              <w:jc w:val="center"/>
              <w:textAlignment w:val="center"/>
              <w:rPr>
                <w:sz w:val="18"/>
                <w:szCs w:val="18"/>
              </w:rPr>
            </w:pPr>
            <w:r>
              <w:rPr>
                <w:rFonts w:hint="eastAsia"/>
                <w:sz w:val="18"/>
                <w:szCs w:val="18"/>
              </w:rPr>
              <w:t>（亿元）</w:t>
            </w:r>
          </w:p>
        </w:tc>
        <w:tc>
          <w:tcPr>
            <w:tcW w:w="1305" w:type="dxa"/>
            <w:tcBorders>
              <w:bottom w:val="single" w:color="auto" w:sz="2" w:space="0"/>
            </w:tcBorders>
            <w:vAlign w:val="center"/>
          </w:tcPr>
          <w:p>
            <w:pPr>
              <w:spacing w:line="220" w:lineRule="exact"/>
              <w:ind w:left="-105" w:leftChars="-50" w:right="-105" w:rightChars="-50"/>
              <w:jc w:val="center"/>
              <w:textAlignment w:val="center"/>
              <w:rPr>
                <w:sz w:val="18"/>
                <w:szCs w:val="18"/>
              </w:rPr>
            </w:pPr>
            <w:r>
              <w:rPr>
                <w:rFonts w:hint="eastAsia"/>
                <w:sz w:val="18"/>
                <w:szCs w:val="18"/>
              </w:rPr>
              <w:t>本期能源消费量</w:t>
            </w:r>
          </w:p>
          <w:p>
            <w:pPr>
              <w:spacing w:line="220" w:lineRule="exact"/>
              <w:ind w:left="-105" w:leftChars="-50" w:right="-105" w:rightChars="-50"/>
              <w:jc w:val="center"/>
              <w:textAlignment w:val="center"/>
              <w:rPr>
                <w:sz w:val="18"/>
                <w:szCs w:val="18"/>
              </w:rPr>
            </w:pPr>
            <w:r>
              <w:rPr>
                <w:rFonts w:hint="eastAsia"/>
                <w:sz w:val="18"/>
                <w:szCs w:val="18"/>
              </w:rPr>
              <w:t>（万吨标准煤）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6" w:hRule="atLeast"/>
        </w:trPr>
        <w:tc>
          <w:tcPr>
            <w:tcW w:w="3544" w:type="dxa"/>
            <w:tcBorders>
              <w:bottom w:val="single" w:color="auto" w:sz="2" w:space="0"/>
            </w:tcBorders>
            <w:vAlign w:val="center"/>
          </w:tcPr>
          <w:p>
            <w:pPr>
              <w:spacing w:line="240" w:lineRule="exact"/>
              <w:jc w:val="center"/>
              <w:textAlignment w:val="center"/>
              <w:rPr>
                <w:spacing w:val="8"/>
                <w:sz w:val="18"/>
                <w:szCs w:val="18"/>
              </w:rPr>
            </w:pPr>
            <w:r>
              <w:rPr>
                <w:spacing w:val="8"/>
                <w:sz w:val="18"/>
                <w:szCs w:val="18"/>
              </w:rPr>
              <w:t>甲</w:t>
            </w:r>
          </w:p>
        </w:tc>
        <w:tc>
          <w:tcPr>
            <w:tcW w:w="1254" w:type="dxa"/>
            <w:tcBorders>
              <w:top w:val="single" w:color="auto" w:sz="2" w:space="0"/>
              <w:bottom w:val="single" w:color="auto" w:sz="2" w:space="0"/>
            </w:tcBorders>
            <w:vAlign w:val="center"/>
          </w:tcPr>
          <w:p>
            <w:pPr>
              <w:spacing w:line="240" w:lineRule="exact"/>
              <w:jc w:val="center"/>
              <w:textAlignment w:val="center"/>
              <w:rPr>
                <w:spacing w:val="8"/>
                <w:sz w:val="18"/>
                <w:szCs w:val="18"/>
              </w:rPr>
            </w:pPr>
            <w:r>
              <w:rPr>
                <w:spacing w:val="8"/>
                <w:sz w:val="18"/>
                <w:szCs w:val="18"/>
              </w:rPr>
              <w:t>1</w:t>
            </w:r>
          </w:p>
        </w:tc>
        <w:tc>
          <w:tcPr>
            <w:tcW w:w="885" w:type="dxa"/>
            <w:tcBorders>
              <w:top w:val="single" w:color="auto" w:sz="2" w:space="0"/>
              <w:bottom w:val="single" w:color="auto" w:sz="2" w:space="0"/>
            </w:tcBorders>
            <w:vAlign w:val="center"/>
          </w:tcPr>
          <w:p>
            <w:pPr>
              <w:spacing w:line="240" w:lineRule="exact"/>
              <w:jc w:val="center"/>
              <w:textAlignment w:val="center"/>
              <w:rPr>
                <w:spacing w:val="8"/>
                <w:sz w:val="18"/>
                <w:szCs w:val="18"/>
              </w:rPr>
            </w:pPr>
            <w:r>
              <w:rPr>
                <w:spacing w:val="8"/>
                <w:sz w:val="18"/>
                <w:szCs w:val="18"/>
              </w:rPr>
              <w:t>2</w:t>
            </w:r>
          </w:p>
        </w:tc>
        <w:tc>
          <w:tcPr>
            <w:tcW w:w="1425" w:type="dxa"/>
            <w:tcBorders>
              <w:top w:val="single" w:color="auto" w:sz="2" w:space="0"/>
              <w:bottom w:val="single" w:color="auto" w:sz="2" w:space="0"/>
            </w:tcBorders>
            <w:vAlign w:val="center"/>
          </w:tcPr>
          <w:p>
            <w:pPr>
              <w:spacing w:line="240" w:lineRule="exact"/>
              <w:jc w:val="center"/>
              <w:textAlignment w:val="center"/>
              <w:rPr>
                <w:spacing w:val="8"/>
                <w:sz w:val="18"/>
                <w:szCs w:val="18"/>
              </w:rPr>
            </w:pPr>
            <w:r>
              <w:rPr>
                <w:spacing w:val="8"/>
                <w:sz w:val="18"/>
                <w:szCs w:val="18"/>
              </w:rPr>
              <w:t>3</w:t>
            </w:r>
          </w:p>
        </w:tc>
        <w:tc>
          <w:tcPr>
            <w:tcW w:w="1007" w:type="dxa"/>
            <w:tcBorders>
              <w:top w:val="single" w:color="auto" w:sz="2" w:space="0"/>
              <w:bottom w:val="single" w:color="auto" w:sz="2" w:space="0"/>
            </w:tcBorders>
            <w:vAlign w:val="center"/>
          </w:tcPr>
          <w:p>
            <w:pPr>
              <w:spacing w:line="240" w:lineRule="exact"/>
              <w:jc w:val="center"/>
              <w:textAlignment w:val="center"/>
              <w:rPr>
                <w:spacing w:val="8"/>
                <w:sz w:val="18"/>
                <w:szCs w:val="18"/>
              </w:rPr>
            </w:pPr>
            <w:r>
              <w:rPr>
                <w:spacing w:val="8"/>
                <w:sz w:val="18"/>
                <w:szCs w:val="18"/>
              </w:rPr>
              <w:t>4</w:t>
            </w:r>
          </w:p>
        </w:tc>
        <w:tc>
          <w:tcPr>
            <w:tcW w:w="1305" w:type="dxa"/>
            <w:tcBorders>
              <w:top w:val="single" w:color="auto" w:sz="2" w:space="0"/>
              <w:bottom w:val="single" w:color="auto" w:sz="2" w:space="0"/>
            </w:tcBorders>
            <w:vAlign w:val="center"/>
          </w:tcPr>
          <w:p>
            <w:pPr>
              <w:spacing w:line="240" w:lineRule="exact"/>
              <w:jc w:val="center"/>
              <w:textAlignment w:val="center"/>
              <w:rPr>
                <w:spacing w:val="8"/>
                <w:sz w:val="18"/>
                <w:szCs w:val="18"/>
              </w:rPr>
            </w:pPr>
            <w:r>
              <w:rPr>
                <w:spacing w:val="8"/>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0" w:hRule="atLeast"/>
        </w:trPr>
        <w:tc>
          <w:tcPr>
            <w:tcW w:w="3544" w:type="dxa"/>
            <w:tcBorders>
              <w:top w:val="single" w:color="auto" w:sz="2" w:space="0"/>
              <w:bottom w:val="nil"/>
            </w:tcBorders>
            <w:vAlign w:val="center"/>
          </w:tcPr>
          <w:p>
            <w:pPr>
              <w:spacing w:line="240" w:lineRule="exact"/>
              <w:ind w:left="-105" w:leftChars="-50" w:right="-105" w:rightChars="-50"/>
              <w:textAlignment w:val="center"/>
              <w:rPr>
                <w:snapToGrid w:val="0"/>
                <w:sz w:val="18"/>
                <w:szCs w:val="18"/>
              </w:rPr>
            </w:pPr>
            <w:r>
              <w:rPr>
                <w:snapToGrid w:val="0"/>
                <w:sz w:val="18"/>
                <w:szCs w:val="18"/>
              </w:rPr>
              <w:t>农、林、牧、渔业</w:t>
            </w:r>
          </w:p>
        </w:tc>
        <w:tc>
          <w:tcPr>
            <w:tcW w:w="1254" w:type="dxa"/>
            <w:vMerge w:val="restart"/>
            <w:tcBorders>
              <w:top w:val="single" w:color="auto" w:sz="2" w:space="0"/>
              <w:right w:val="single" w:color="auto" w:sz="2" w:space="0"/>
            </w:tcBorders>
            <w:vAlign w:val="center"/>
          </w:tcPr>
          <w:p>
            <w:pPr>
              <w:spacing w:line="240" w:lineRule="exact"/>
              <w:jc w:val="center"/>
              <w:textAlignment w:val="center"/>
              <w:rPr>
                <w:spacing w:val="8"/>
                <w:sz w:val="18"/>
                <w:szCs w:val="18"/>
              </w:rPr>
            </w:pPr>
          </w:p>
        </w:tc>
        <w:tc>
          <w:tcPr>
            <w:tcW w:w="885" w:type="dxa"/>
            <w:vMerge w:val="restart"/>
            <w:tcBorders>
              <w:top w:val="single" w:color="auto" w:sz="2" w:space="0"/>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425" w:type="dxa"/>
            <w:vMerge w:val="restart"/>
            <w:tcBorders>
              <w:top w:val="single" w:color="auto" w:sz="2" w:space="0"/>
              <w:left w:val="single" w:color="auto" w:sz="2" w:space="0"/>
              <w:bottom w:val="nil"/>
              <w:right w:val="single" w:color="auto" w:sz="2" w:space="0"/>
            </w:tcBorders>
            <w:vAlign w:val="center"/>
          </w:tcPr>
          <w:p>
            <w:pPr>
              <w:spacing w:line="240" w:lineRule="exact"/>
              <w:jc w:val="center"/>
              <w:textAlignment w:val="center"/>
              <w:rPr>
                <w:spacing w:val="8"/>
                <w:sz w:val="18"/>
                <w:szCs w:val="18"/>
              </w:rPr>
            </w:pPr>
            <w:r>
              <w:rPr>
                <w:spacing w:val="8"/>
                <w:sz w:val="18"/>
                <w:szCs w:val="18"/>
              </w:rPr>
              <w:t>3=1/2</w:t>
            </w:r>
          </w:p>
        </w:tc>
        <w:tc>
          <w:tcPr>
            <w:tcW w:w="1007" w:type="dxa"/>
            <w:vMerge w:val="restart"/>
            <w:tcBorders>
              <w:top w:val="single" w:color="auto" w:sz="2" w:space="0"/>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5" w:type="dxa"/>
            <w:vMerge w:val="restart"/>
            <w:tcBorders>
              <w:top w:val="single" w:color="auto" w:sz="2" w:space="0"/>
              <w:left w:val="single" w:color="auto" w:sz="2" w:space="0"/>
              <w:bottom w:val="single" w:color="auto" w:sz="8" w:space="0"/>
              <w:right w:val="nil"/>
            </w:tcBorders>
            <w:vAlign w:val="center"/>
          </w:tcPr>
          <w:p>
            <w:pPr>
              <w:spacing w:line="240" w:lineRule="exact"/>
              <w:jc w:val="center"/>
              <w:textAlignment w:val="center"/>
              <w:rPr>
                <w:spacing w:val="8"/>
                <w:sz w:val="18"/>
                <w:szCs w:val="18"/>
              </w:rPr>
            </w:pPr>
            <w:r>
              <w:rPr>
                <w:rFonts w:hint="eastAsia"/>
                <w:spacing w:val="8"/>
                <w:sz w:val="18"/>
                <w:szCs w:val="18"/>
              </w:rPr>
              <w:t>5=</w:t>
            </w:r>
            <w:r>
              <w:rPr>
                <w:spacing w:val="8"/>
                <w:sz w:val="18"/>
                <w:szCs w:val="18"/>
              </w:rPr>
              <w:t>3*4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6" w:hRule="atLeast"/>
        </w:trPr>
        <w:tc>
          <w:tcPr>
            <w:tcW w:w="3544" w:type="dxa"/>
            <w:tcBorders>
              <w:top w:val="nil"/>
              <w:bottom w:val="nil"/>
            </w:tcBorders>
            <w:vAlign w:val="center"/>
          </w:tcPr>
          <w:p>
            <w:pPr>
              <w:spacing w:line="240" w:lineRule="exact"/>
              <w:ind w:left="-105" w:leftChars="-50" w:right="-105" w:rightChars="-50"/>
              <w:textAlignment w:val="center"/>
              <w:rPr>
                <w:snapToGrid w:val="0"/>
                <w:sz w:val="18"/>
                <w:szCs w:val="18"/>
              </w:rPr>
            </w:pPr>
            <w:r>
              <w:rPr>
                <w:snapToGrid w:val="0"/>
                <w:sz w:val="18"/>
                <w:szCs w:val="18"/>
              </w:rPr>
              <w:t>建筑业</w:t>
            </w:r>
          </w:p>
        </w:tc>
        <w:tc>
          <w:tcPr>
            <w:tcW w:w="1254" w:type="dxa"/>
            <w:vMerge w:val="continue"/>
            <w:tcBorders>
              <w:right w:val="single" w:color="auto" w:sz="2" w:space="0"/>
            </w:tcBorders>
            <w:vAlign w:val="center"/>
          </w:tcPr>
          <w:p>
            <w:pPr>
              <w:spacing w:line="240" w:lineRule="exact"/>
              <w:jc w:val="center"/>
              <w:textAlignment w:val="center"/>
              <w:rPr>
                <w:spacing w:val="8"/>
                <w:sz w:val="18"/>
                <w:szCs w:val="18"/>
              </w:rPr>
            </w:pPr>
          </w:p>
        </w:tc>
        <w:tc>
          <w:tcPr>
            <w:tcW w:w="885"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425" w:type="dxa"/>
            <w:vMerge w:val="continue"/>
            <w:tcBorders>
              <w:top w:val="nil"/>
              <w:left w:val="single" w:color="auto" w:sz="2" w:space="0"/>
              <w:bottom w:val="nil"/>
              <w:right w:val="single" w:color="auto" w:sz="2" w:space="0"/>
            </w:tcBorders>
            <w:vAlign w:val="center"/>
          </w:tcPr>
          <w:p>
            <w:pPr>
              <w:spacing w:line="240" w:lineRule="exact"/>
              <w:jc w:val="center"/>
              <w:textAlignment w:val="center"/>
              <w:rPr>
                <w:spacing w:val="8"/>
                <w:sz w:val="18"/>
                <w:szCs w:val="18"/>
              </w:rPr>
            </w:pPr>
          </w:p>
        </w:tc>
        <w:tc>
          <w:tcPr>
            <w:tcW w:w="1007"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5" w:type="dxa"/>
            <w:vMerge w:val="continue"/>
            <w:tcBorders>
              <w:top w:val="single" w:color="auto" w:sz="2" w:space="0"/>
              <w:left w:val="single" w:color="auto" w:sz="2" w:space="0"/>
              <w:bottom w:val="single" w:color="auto" w:sz="8" w:space="0"/>
              <w:right w:val="nil"/>
            </w:tcBorders>
          </w:tcPr>
          <w:p>
            <w:pPr>
              <w:spacing w:line="240" w:lineRule="exact"/>
              <w:jc w:val="center"/>
              <w:textAlignment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62" w:hRule="atLeast"/>
        </w:trPr>
        <w:tc>
          <w:tcPr>
            <w:tcW w:w="3544" w:type="dxa"/>
            <w:tcBorders>
              <w:top w:val="nil"/>
              <w:bottom w:val="nil"/>
            </w:tcBorders>
            <w:vAlign w:val="center"/>
          </w:tcPr>
          <w:p>
            <w:pPr>
              <w:spacing w:line="240" w:lineRule="exact"/>
              <w:ind w:left="-105" w:leftChars="-50" w:right="-105" w:rightChars="-50"/>
              <w:textAlignment w:val="center"/>
              <w:rPr>
                <w:snapToGrid w:val="0"/>
                <w:sz w:val="18"/>
                <w:szCs w:val="18"/>
              </w:rPr>
            </w:pPr>
            <w:r>
              <w:rPr>
                <w:snapToGrid w:val="0"/>
                <w:sz w:val="18"/>
                <w:szCs w:val="18"/>
              </w:rPr>
              <w:t>服务业</w:t>
            </w:r>
            <w:r>
              <w:rPr>
                <w:rFonts w:hint="eastAsia"/>
                <w:snapToGrid w:val="0"/>
                <w:kern w:val="0"/>
                <w:sz w:val="18"/>
                <w:szCs w:val="18"/>
                <w:vertAlign w:val="superscript"/>
              </w:rPr>
              <w:t>*</w:t>
            </w:r>
          </w:p>
        </w:tc>
        <w:tc>
          <w:tcPr>
            <w:tcW w:w="1254" w:type="dxa"/>
            <w:vMerge w:val="continue"/>
            <w:tcBorders>
              <w:right w:val="single" w:color="auto" w:sz="2" w:space="0"/>
            </w:tcBorders>
            <w:vAlign w:val="center"/>
          </w:tcPr>
          <w:p>
            <w:pPr>
              <w:spacing w:line="240" w:lineRule="exact"/>
              <w:jc w:val="center"/>
              <w:textAlignment w:val="center"/>
              <w:rPr>
                <w:spacing w:val="8"/>
                <w:sz w:val="18"/>
                <w:szCs w:val="18"/>
              </w:rPr>
            </w:pPr>
          </w:p>
        </w:tc>
        <w:tc>
          <w:tcPr>
            <w:tcW w:w="885"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425" w:type="dxa"/>
            <w:vMerge w:val="continue"/>
            <w:tcBorders>
              <w:top w:val="nil"/>
              <w:left w:val="single" w:color="auto" w:sz="2" w:space="0"/>
              <w:bottom w:val="nil"/>
              <w:right w:val="single" w:color="auto" w:sz="2" w:space="0"/>
            </w:tcBorders>
            <w:vAlign w:val="center"/>
          </w:tcPr>
          <w:p>
            <w:pPr>
              <w:spacing w:line="240" w:lineRule="exact"/>
              <w:jc w:val="center"/>
              <w:textAlignment w:val="center"/>
              <w:rPr>
                <w:spacing w:val="8"/>
                <w:sz w:val="18"/>
                <w:szCs w:val="18"/>
              </w:rPr>
            </w:pPr>
          </w:p>
        </w:tc>
        <w:tc>
          <w:tcPr>
            <w:tcW w:w="1007"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5" w:type="dxa"/>
            <w:vMerge w:val="continue"/>
            <w:tcBorders>
              <w:top w:val="single" w:color="auto" w:sz="2" w:space="0"/>
              <w:left w:val="single" w:color="auto" w:sz="2" w:space="0"/>
              <w:bottom w:val="single" w:color="auto" w:sz="8" w:space="0"/>
              <w:right w:val="nil"/>
            </w:tcBorders>
          </w:tcPr>
          <w:p>
            <w:pPr>
              <w:spacing w:line="240" w:lineRule="exact"/>
              <w:jc w:val="center"/>
              <w:textAlignment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3" w:hRule="atLeast"/>
        </w:trPr>
        <w:tc>
          <w:tcPr>
            <w:tcW w:w="3544" w:type="dxa"/>
            <w:tcBorders>
              <w:top w:val="nil"/>
              <w:bottom w:val="nil"/>
            </w:tcBorders>
            <w:vAlign w:val="center"/>
          </w:tcPr>
          <w:p>
            <w:pPr>
              <w:spacing w:line="240" w:lineRule="exact"/>
              <w:ind w:left="-105" w:leftChars="-50" w:right="-105" w:rightChars="-50"/>
              <w:textAlignment w:val="center"/>
              <w:rPr>
                <w:snapToGrid w:val="0"/>
                <w:sz w:val="18"/>
                <w:szCs w:val="18"/>
              </w:rPr>
            </w:pPr>
            <w:r>
              <w:rPr>
                <w:rFonts w:hint="eastAsia"/>
                <w:snapToGrid w:val="0"/>
                <w:sz w:val="18"/>
                <w:szCs w:val="18"/>
              </w:rPr>
              <w:t xml:space="preserve">  </w:t>
            </w:r>
            <w:r>
              <w:rPr>
                <w:snapToGrid w:val="0"/>
                <w:sz w:val="18"/>
                <w:szCs w:val="18"/>
              </w:rPr>
              <w:t>交通运输、仓储和邮政业</w:t>
            </w:r>
          </w:p>
        </w:tc>
        <w:tc>
          <w:tcPr>
            <w:tcW w:w="1254" w:type="dxa"/>
            <w:vMerge w:val="continue"/>
            <w:tcBorders>
              <w:right w:val="single" w:color="auto" w:sz="2" w:space="0"/>
            </w:tcBorders>
            <w:vAlign w:val="center"/>
          </w:tcPr>
          <w:p>
            <w:pPr>
              <w:spacing w:line="240" w:lineRule="exact"/>
              <w:jc w:val="center"/>
              <w:textAlignment w:val="center"/>
              <w:rPr>
                <w:spacing w:val="8"/>
                <w:sz w:val="18"/>
                <w:szCs w:val="18"/>
              </w:rPr>
            </w:pPr>
          </w:p>
        </w:tc>
        <w:tc>
          <w:tcPr>
            <w:tcW w:w="885"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425" w:type="dxa"/>
            <w:vMerge w:val="continue"/>
            <w:tcBorders>
              <w:top w:val="nil"/>
              <w:left w:val="single" w:color="auto" w:sz="2" w:space="0"/>
              <w:bottom w:val="nil"/>
              <w:right w:val="single" w:color="auto" w:sz="2" w:space="0"/>
            </w:tcBorders>
            <w:vAlign w:val="center"/>
          </w:tcPr>
          <w:p>
            <w:pPr>
              <w:spacing w:line="240" w:lineRule="exact"/>
              <w:jc w:val="center"/>
              <w:textAlignment w:val="center"/>
              <w:rPr>
                <w:spacing w:val="8"/>
                <w:sz w:val="18"/>
                <w:szCs w:val="18"/>
              </w:rPr>
            </w:pPr>
          </w:p>
        </w:tc>
        <w:tc>
          <w:tcPr>
            <w:tcW w:w="1007" w:type="dxa"/>
            <w:vMerge w:val="continue"/>
            <w:tcBorders>
              <w:left w:val="single" w:color="auto" w:sz="2" w:space="0"/>
              <w:right w:val="single" w:color="auto" w:sz="2" w:space="0"/>
            </w:tcBorders>
            <w:vAlign w:val="center"/>
          </w:tcPr>
          <w:p>
            <w:pPr>
              <w:spacing w:line="240" w:lineRule="exact"/>
              <w:jc w:val="center"/>
              <w:textAlignment w:val="center"/>
              <w:rPr>
                <w:spacing w:val="8"/>
                <w:sz w:val="18"/>
                <w:szCs w:val="18"/>
              </w:rPr>
            </w:pPr>
          </w:p>
        </w:tc>
        <w:tc>
          <w:tcPr>
            <w:tcW w:w="1305" w:type="dxa"/>
            <w:vMerge w:val="continue"/>
            <w:tcBorders>
              <w:top w:val="single" w:color="auto" w:sz="2" w:space="0"/>
              <w:left w:val="single" w:color="auto" w:sz="2" w:space="0"/>
              <w:bottom w:val="single" w:color="auto" w:sz="8" w:space="0"/>
              <w:right w:val="nil"/>
            </w:tcBorders>
          </w:tcPr>
          <w:p>
            <w:pPr>
              <w:spacing w:line="240" w:lineRule="exact"/>
              <w:jc w:val="center"/>
              <w:textAlignment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63" w:hRule="atLeast"/>
        </w:trPr>
        <w:tc>
          <w:tcPr>
            <w:tcW w:w="3544" w:type="dxa"/>
            <w:tcBorders>
              <w:top w:val="nil"/>
              <w:bottom w:val="single" w:color="auto" w:sz="8" w:space="0"/>
            </w:tcBorders>
            <w:vAlign w:val="center"/>
          </w:tcPr>
          <w:p>
            <w:pPr>
              <w:spacing w:line="240" w:lineRule="exact"/>
              <w:ind w:left="-105" w:leftChars="-50" w:right="-105" w:rightChars="-50"/>
              <w:textAlignment w:val="center"/>
              <w:rPr>
                <w:snapToGrid w:val="0"/>
                <w:sz w:val="18"/>
                <w:szCs w:val="18"/>
              </w:rPr>
            </w:pPr>
            <w:r>
              <w:rPr>
                <w:rFonts w:hint="eastAsia"/>
                <w:snapToGrid w:val="0"/>
                <w:sz w:val="18"/>
                <w:szCs w:val="18"/>
              </w:rPr>
              <w:t xml:space="preserve">  </w:t>
            </w:r>
            <w:r>
              <w:rPr>
                <w:snapToGrid w:val="0"/>
                <w:sz w:val="18"/>
                <w:szCs w:val="18"/>
              </w:rPr>
              <w:t>服务业</w:t>
            </w:r>
            <w:r>
              <w:rPr>
                <w:rFonts w:hint="eastAsia"/>
                <w:snapToGrid w:val="0"/>
                <w:kern w:val="0"/>
                <w:sz w:val="18"/>
                <w:szCs w:val="18"/>
                <w:vertAlign w:val="superscript"/>
              </w:rPr>
              <w:t>*</w:t>
            </w:r>
            <w:r>
              <w:rPr>
                <w:rFonts w:hint="eastAsia"/>
                <w:snapToGrid w:val="0"/>
                <w:sz w:val="18"/>
                <w:szCs w:val="18"/>
              </w:rPr>
              <w:t>（</w:t>
            </w:r>
            <w:r>
              <w:rPr>
                <w:snapToGrid w:val="0"/>
                <w:sz w:val="18"/>
                <w:szCs w:val="18"/>
              </w:rPr>
              <w:t>不含交通运输、仓储和邮政业</w:t>
            </w:r>
            <w:r>
              <w:rPr>
                <w:rFonts w:hint="eastAsia"/>
                <w:snapToGrid w:val="0"/>
                <w:sz w:val="18"/>
                <w:szCs w:val="18"/>
              </w:rPr>
              <w:t>）</w:t>
            </w:r>
          </w:p>
        </w:tc>
        <w:tc>
          <w:tcPr>
            <w:tcW w:w="1254" w:type="dxa"/>
            <w:vMerge w:val="continue"/>
            <w:tcBorders>
              <w:bottom w:val="single" w:color="auto" w:sz="8" w:space="0"/>
              <w:right w:val="single" w:color="auto" w:sz="2" w:space="0"/>
            </w:tcBorders>
            <w:vAlign w:val="center"/>
          </w:tcPr>
          <w:p>
            <w:pPr>
              <w:spacing w:line="240" w:lineRule="exact"/>
              <w:jc w:val="center"/>
              <w:textAlignment w:val="center"/>
              <w:rPr>
                <w:spacing w:val="8"/>
                <w:sz w:val="18"/>
                <w:szCs w:val="18"/>
              </w:rPr>
            </w:pPr>
          </w:p>
        </w:tc>
        <w:tc>
          <w:tcPr>
            <w:tcW w:w="885" w:type="dxa"/>
            <w:vMerge w:val="continue"/>
            <w:tcBorders>
              <w:left w:val="single" w:color="auto" w:sz="2" w:space="0"/>
              <w:bottom w:val="single" w:color="auto" w:sz="8" w:space="0"/>
              <w:right w:val="single" w:color="auto" w:sz="2" w:space="0"/>
            </w:tcBorders>
            <w:vAlign w:val="center"/>
          </w:tcPr>
          <w:p>
            <w:pPr>
              <w:spacing w:line="240" w:lineRule="exact"/>
              <w:jc w:val="center"/>
              <w:textAlignment w:val="center"/>
              <w:rPr>
                <w:spacing w:val="8"/>
                <w:sz w:val="18"/>
                <w:szCs w:val="18"/>
              </w:rPr>
            </w:pPr>
          </w:p>
        </w:tc>
        <w:tc>
          <w:tcPr>
            <w:tcW w:w="1425" w:type="dxa"/>
            <w:vMerge w:val="continue"/>
            <w:tcBorders>
              <w:top w:val="nil"/>
              <w:left w:val="single" w:color="auto" w:sz="2" w:space="0"/>
              <w:bottom w:val="single" w:color="auto" w:sz="8" w:space="0"/>
              <w:right w:val="single" w:color="auto" w:sz="2" w:space="0"/>
            </w:tcBorders>
            <w:vAlign w:val="center"/>
          </w:tcPr>
          <w:p>
            <w:pPr>
              <w:spacing w:line="240" w:lineRule="exact"/>
              <w:jc w:val="center"/>
              <w:textAlignment w:val="center"/>
              <w:rPr>
                <w:spacing w:val="8"/>
                <w:sz w:val="18"/>
                <w:szCs w:val="18"/>
              </w:rPr>
            </w:pPr>
          </w:p>
        </w:tc>
        <w:tc>
          <w:tcPr>
            <w:tcW w:w="1007" w:type="dxa"/>
            <w:vMerge w:val="continue"/>
            <w:tcBorders>
              <w:left w:val="single" w:color="auto" w:sz="2" w:space="0"/>
              <w:bottom w:val="single" w:color="auto" w:sz="8" w:space="0"/>
              <w:right w:val="single" w:color="auto" w:sz="2" w:space="0"/>
            </w:tcBorders>
            <w:vAlign w:val="center"/>
          </w:tcPr>
          <w:p>
            <w:pPr>
              <w:spacing w:line="240" w:lineRule="exact"/>
              <w:jc w:val="center"/>
              <w:textAlignment w:val="center"/>
              <w:rPr>
                <w:spacing w:val="8"/>
                <w:sz w:val="18"/>
                <w:szCs w:val="18"/>
              </w:rPr>
            </w:pPr>
          </w:p>
        </w:tc>
        <w:tc>
          <w:tcPr>
            <w:tcW w:w="1305" w:type="dxa"/>
            <w:vMerge w:val="continue"/>
            <w:tcBorders>
              <w:top w:val="single" w:color="auto" w:sz="2" w:space="0"/>
              <w:left w:val="single" w:color="auto" w:sz="2" w:space="0"/>
              <w:bottom w:val="single" w:color="auto" w:sz="8" w:space="0"/>
              <w:right w:val="nil"/>
            </w:tcBorders>
          </w:tcPr>
          <w:p>
            <w:pPr>
              <w:spacing w:line="240" w:lineRule="exact"/>
              <w:jc w:val="center"/>
              <w:textAlignment w:val="center"/>
              <w:rPr>
                <w:spacing w:val="8"/>
                <w:sz w:val="18"/>
                <w:szCs w:val="18"/>
              </w:rPr>
            </w:pPr>
          </w:p>
        </w:tc>
      </w:tr>
    </w:tbl>
    <w:p>
      <w:pPr>
        <w:spacing w:line="360" w:lineRule="exact"/>
        <w:ind w:firstLine="424" w:firstLineChars="202"/>
        <w:textAlignment w:val="center"/>
        <w:rPr>
          <w:rFonts w:ascii="宋体"/>
          <w:szCs w:val="21"/>
        </w:rPr>
      </w:pPr>
      <w:r>
        <w:rPr>
          <w:rFonts w:hint="eastAsia" w:ascii="宋体" w:hAnsi="宋体"/>
          <w:szCs w:val="21"/>
        </w:rPr>
        <w:t>3</w:t>
      </w:r>
      <w:r>
        <w:rPr>
          <w:rFonts w:ascii="宋体" w:hAnsi="宋体"/>
          <w:szCs w:val="21"/>
        </w:rPr>
        <w:t>.核算方法</w:t>
      </w:r>
      <w:r>
        <w:rPr>
          <w:rFonts w:hint="eastAsia" w:ascii="宋体" w:hAnsi="宋体"/>
          <w:szCs w:val="21"/>
        </w:rPr>
        <w:t>三</w:t>
      </w:r>
      <w:r>
        <w:rPr>
          <w:rFonts w:hint="eastAsia"/>
          <w:szCs w:val="21"/>
        </w:rPr>
        <w:t>（</w:t>
      </w:r>
      <w:r>
        <w:rPr>
          <w:rFonts w:hint="eastAsia" w:ascii="宋体" w:hAnsi="宋体"/>
          <w:szCs w:val="21"/>
        </w:rPr>
        <w:t>能源消费弹性系数法</w:t>
      </w:r>
      <w:r>
        <w:rPr>
          <w:rFonts w:hint="eastAsia"/>
          <w:szCs w:val="21"/>
        </w:rPr>
        <w:t>）</w:t>
      </w:r>
      <w:r>
        <w:rPr>
          <w:szCs w:val="21"/>
        </w:rPr>
        <w:t>：</w:t>
      </w:r>
      <w:r>
        <w:rPr>
          <w:rFonts w:ascii="宋体"/>
          <w:szCs w:val="21"/>
        </w:rPr>
        <w:t>使用本期增加值增速</w:t>
      </w:r>
      <w:r>
        <w:rPr>
          <w:rFonts w:hint="eastAsia" w:ascii="宋体"/>
          <w:szCs w:val="21"/>
        </w:rPr>
        <w:t>、上年</w:t>
      </w:r>
      <w:r>
        <w:rPr>
          <w:rFonts w:ascii="宋体"/>
          <w:szCs w:val="21"/>
        </w:rPr>
        <w:t>能源消费</w:t>
      </w:r>
      <w:r>
        <w:rPr>
          <w:rFonts w:hint="eastAsia" w:ascii="宋体"/>
          <w:szCs w:val="21"/>
        </w:rPr>
        <w:t>弹性系数</w:t>
      </w:r>
      <w:r>
        <w:rPr>
          <w:rFonts w:ascii="宋体"/>
          <w:szCs w:val="21"/>
        </w:rPr>
        <w:t>等</w:t>
      </w:r>
      <w:r>
        <w:rPr>
          <w:rFonts w:hint="eastAsia" w:ascii="宋体"/>
          <w:szCs w:val="21"/>
        </w:rPr>
        <w:t>核算</w:t>
      </w:r>
      <w:r>
        <w:rPr>
          <w:rFonts w:ascii="宋体"/>
          <w:szCs w:val="21"/>
        </w:rPr>
        <w:t>。</w:t>
      </w:r>
    </w:p>
    <w:p>
      <w:pPr>
        <w:spacing w:line="360" w:lineRule="exact"/>
        <w:ind w:right="-40" w:firstLine="430" w:firstLineChars="205"/>
        <w:textAlignment w:val="center"/>
        <w:rPr>
          <w:rFonts w:ascii="宋体"/>
          <w:szCs w:val="21"/>
        </w:rPr>
      </w:pPr>
      <w:r>
        <w:rPr>
          <w:rFonts w:ascii="宋体"/>
          <w:szCs w:val="21"/>
        </w:rPr>
        <w:t>本期能源消费量</w:t>
      </w:r>
      <w:r>
        <w:rPr>
          <w:rFonts w:hint="eastAsia" w:ascii="宋体"/>
          <w:szCs w:val="21"/>
        </w:rPr>
        <w:t>增速</w:t>
      </w:r>
      <w:r>
        <w:rPr>
          <w:rFonts w:ascii="宋体"/>
          <w:szCs w:val="18"/>
        </w:rPr>
        <w:t>=本期增加值增速</w:t>
      </w:r>
      <w:r>
        <w:rPr>
          <w:rFonts w:ascii="宋体" w:hAnsi="宋体"/>
          <w:szCs w:val="21"/>
        </w:rPr>
        <w:t>×</w:t>
      </w:r>
      <w:r>
        <w:rPr>
          <w:rFonts w:ascii="宋体"/>
          <w:szCs w:val="18"/>
        </w:rPr>
        <w:t>上年能源消费弹性系数</w:t>
      </w:r>
    </w:p>
    <w:p>
      <w:pPr>
        <w:spacing w:line="360" w:lineRule="exact"/>
        <w:ind w:right="-40" w:firstLine="430" w:firstLineChars="205"/>
        <w:textAlignment w:val="center"/>
        <w:rPr>
          <w:rFonts w:ascii="宋体" w:hAnsi="宋体"/>
          <w:szCs w:val="21"/>
        </w:rPr>
      </w:pPr>
      <w:r>
        <w:rPr>
          <w:rFonts w:ascii="宋体"/>
          <w:szCs w:val="21"/>
        </w:rPr>
        <w:t xml:space="preserve">              </w:t>
      </w:r>
      <w:r>
        <w:rPr>
          <w:rFonts w:hint="eastAsia" w:ascii="宋体"/>
          <w:szCs w:val="21"/>
        </w:rPr>
        <w:t xml:space="preserve">    =</w:t>
      </w:r>
      <w:r>
        <w:rPr>
          <w:rFonts w:ascii="宋体"/>
          <w:szCs w:val="21"/>
        </w:rPr>
        <w:t>本</w:t>
      </w:r>
      <w:r>
        <w:rPr>
          <w:rFonts w:hint="eastAsia" w:ascii="宋体"/>
          <w:szCs w:val="21"/>
        </w:rPr>
        <w:t>期增加值增速×</w:t>
      </w:r>
      <w:r>
        <w:rPr>
          <w:rFonts w:hint="eastAsia"/>
          <w:szCs w:val="21"/>
        </w:rPr>
        <w:t>（</w:t>
      </w:r>
      <w:r>
        <w:rPr>
          <w:rFonts w:hint="eastAsia" w:ascii="宋体" w:hAnsi="宋体"/>
          <w:szCs w:val="21"/>
        </w:rPr>
        <w:t>上年能源消费量增速/上年增加值增速</w:t>
      </w:r>
      <w:r>
        <w:rPr>
          <w:rFonts w:hint="eastAsia"/>
          <w:szCs w:val="21"/>
        </w:rPr>
        <w:t>）</w:t>
      </w:r>
    </w:p>
    <w:p>
      <w:pPr>
        <w:spacing w:line="360" w:lineRule="exact"/>
        <w:ind w:right="-40" w:firstLine="430" w:firstLineChars="205"/>
        <w:textAlignment w:val="center"/>
        <w:rPr>
          <w:rFonts w:ascii="宋体" w:hAnsi="宋体"/>
          <w:szCs w:val="21"/>
        </w:rPr>
      </w:pPr>
      <w:r>
        <w:rPr>
          <w:rFonts w:hint="eastAsia" w:ascii="宋体" w:hAnsi="宋体"/>
          <w:szCs w:val="21"/>
        </w:rPr>
        <w:t>其中</w:t>
      </w:r>
      <w:r>
        <w:rPr>
          <w:rFonts w:hint="eastAsia"/>
          <w:szCs w:val="21"/>
        </w:rPr>
        <w:t>：</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1</w:t>
      </w:r>
      <w:r>
        <w:rPr>
          <w:rFonts w:hint="eastAsia"/>
          <w:szCs w:val="21"/>
        </w:rPr>
        <w:t>）“</w:t>
      </w:r>
      <w:r>
        <w:rPr>
          <w:rFonts w:ascii="宋体" w:hAnsi="宋体"/>
          <w:szCs w:val="21"/>
        </w:rPr>
        <w:t>本</w:t>
      </w:r>
      <w:r>
        <w:rPr>
          <w:rFonts w:hint="eastAsia" w:ascii="宋体" w:hAnsi="宋体"/>
          <w:szCs w:val="21"/>
        </w:rPr>
        <w:t>期增加值增速</w:t>
      </w:r>
      <w:r>
        <w:rPr>
          <w:rFonts w:hint="eastAsia"/>
          <w:szCs w:val="21"/>
        </w:rPr>
        <w:t>”</w:t>
      </w:r>
      <w:r>
        <w:rPr>
          <w:rFonts w:hint="eastAsia" w:ascii="宋体" w:hAnsi="宋体"/>
          <w:szCs w:val="21"/>
        </w:rPr>
        <w:t>、</w:t>
      </w:r>
      <w:r>
        <w:rPr>
          <w:rFonts w:hint="eastAsia"/>
          <w:szCs w:val="21"/>
        </w:rPr>
        <w:t>“</w:t>
      </w:r>
      <w:r>
        <w:rPr>
          <w:rFonts w:hint="eastAsia" w:ascii="宋体" w:hAnsi="宋体"/>
          <w:szCs w:val="21"/>
        </w:rPr>
        <w:t>上年增加值增速</w:t>
      </w:r>
      <w:r>
        <w:rPr>
          <w:rFonts w:hint="eastAsia"/>
          <w:szCs w:val="21"/>
        </w:rPr>
        <w:t>”</w:t>
      </w:r>
      <w:r>
        <w:rPr>
          <w:rFonts w:hint="eastAsia" w:ascii="宋体" w:hAnsi="宋体"/>
          <w:szCs w:val="21"/>
        </w:rPr>
        <w:t>是指各行业</w:t>
      </w:r>
      <w:r>
        <w:rPr>
          <w:rFonts w:ascii="宋体" w:hAnsi="宋体"/>
          <w:szCs w:val="21"/>
        </w:rPr>
        <w:t>本期和上年</w:t>
      </w:r>
      <w:r>
        <w:rPr>
          <w:rFonts w:hint="eastAsia" w:ascii="宋体" w:hAnsi="宋体"/>
          <w:szCs w:val="21"/>
        </w:rPr>
        <w:t>增加值增速。</w:t>
      </w:r>
    </w:p>
    <w:p>
      <w:pPr>
        <w:spacing w:line="360" w:lineRule="exact"/>
        <w:ind w:right="-40" w:firstLine="430" w:firstLineChars="205"/>
        <w:textAlignment w:val="center"/>
        <w:rPr>
          <w:rFonts w:ascii="宋体" w:hAnsi="宋体"/>
          <w:szCs w:val="21"/>
        </w:rPr>
      </w:pPr>
      <w:r>
        <w:rPr>
          <w:rFonts w:hint="eastAsia"/>
          <w:szCs w:val="21"/>
        </w:rPr>
        <w:t>（</w:t>
      </w:r>
      <w:r>
        <w:rPr>
          <w:rFonts w:ascii="宋体" w:hAnsi="宋体"/>
          <w:szCs w:val="21"/>
        </w:rPr>
        <w:t>2</w:t>
      </w:r>
      <w:r>
        <w:rPr>
          <w:rFonts w:hint="eastAsia"/>
          <w:szCs w:val="21"/>
        </w:rPr>
        <w:t>）“</w:t>
      </w:r>
      <w:r>
        <w:rPr>
          <w:rFonts w:hint="eastAsia" w:ascii="宋体" w:hAnsi="宋体"/>
          <w:szCs w:val="21"/>
        </w:rPr>
        <w:t>上年能源消费量增速</w:t>
      </w:r>
      <w:r>
        <w:rPr>
          <w:rFonts w:hint="eastAsia"/>
          <w:szCs w:val="21"/>
        </w:rPr>
        <w:t>”</w:t>
      </w:r>
      <w:r>
        <w:rPr>
          <w:rFonts w:ascii="宋体" w:hAnsi="宋体"/>
          <w:szCs w:val="21"/>
        </w:rPr>
        <w:t>根据</w:t>
      </w:r>
      <w:r>
        <w:rPr>
          <w:rFonts w:hint="eastAsia" w:ascii="宋体" w:hAnsi="宋体"/>
          <w:szCs w:val="21"/>
        </w:rPr>
        <w:t>上年及往年能源平衡表各行业能源消费量计算。</w:t>
      </w:r>
    </w:p>
    <w:p>
      <w:pPr>
        <w:spacing w:line="400" w:lineRule="exact"/>
        <w:jc w:val="left"/>
        <w:textAlignment w:val="center"/>
        <w:rPr>
          <w:rFonts w:ascii="宋体" w:hAnsi="宋体"/>
          <w:spacing w:val="8"/>
          <w:sz w:val="18"/>
          <w:szCs w:val="18"/>
        </w:rPr>
      </w:pPr>
      <w:r>
        <w:rPr>
          <w:rFonts w:ascii="宋体" w:hAnsi="宋体"/>
          <w:spacing w:val="8"/>
          <w:sz w:val="18"/>
          <w:szCs w:val="18"/>
        </w:rPr>
        <w:t>表3</w:t>
      </w:r>
    </w:p>
    <w:tbl>
      <w:tblPr>
        <w:tblStyle w:val="25"/>
        <w:tblW w:w="9421" w:type="dxa"/>
        <w:tblInd w:w="108" w:type="dxa"/>
        <w:tblLayout w:type="fixed"/>
        <w:tblCellMar>
          <w:top w:w="0" w:type="dxa"/>
          <w:left w:w="108" w:type="dxa"/>
          <w:bottom w:w="0" w:type="dxa"/>
          <w:right w:w="108" w:type="dxa"/>
        </w:tblCellMar>
      </w:tblPr>
      <w:tblGrid>
        <w:gridCol w:w="3510"/>
        <w:gridCol w:w="1168"/>
        <w:gridCol w:w="1147"/>
        <w:gridCol w:w="1146"/>
        <w:gridCol w:w="1134"/>
        <w:gridCol w:w="1316"/>
        <w:tblGridChange w:id="5">
          <w:tblGrid>
            <w:gridCol w:w="108"/>
            <w:gridCol w:w="3445"/>
            <w:gridCol w:w="65"/>
            <w:gridCol w:w="1168"/>
            <w:gridCol w:w="64"/>
            <w:gridCol w:w="1083"/>
            <w:gridCol w:w="1146"/>
            <w:gridCol w:w="1134"/>
            <w:gridCol w:w="1316"/>
          </w:tblGrid>
        </w:tblGridChange>
      </w:tblGrid>
      <w:tr>
        <w:tblPrEx>
          <w:tblLayout w:type="fixed"/>
          <w:tblCellMar>
            <w:top w:w="0" w:type="dxa"/>
            <w:left w:w="108" w:type="dxa"/>
            <w:bottom w:w="0" w:type="dxa"/>
            <w:right w:w="108" w:type="dxa"/>
          </w:tblCellMar>
        </w:tblPrEx>
        <w:trPr>
          <w:trHeight w:val="642" w:hRule="atLeast"/>
        </w:trPr>
        <w:tc>
          <w:tcPr>
            <w:tcW w:w="3510" w:type="dxa"/>
            <w:tcBorders>
              <w:top w:val="single" w:color="auto" w:sz="8" w:space="0"/>
              <w:left w:val="nil"/>
              <w:bottom w:val="single" w:color="auto" w:sz="4" w:space="0"/>
              <w:right w:val="single" w:color="auto" w:sz="2" w:space="0"/>
            </w:tcBorders>
            <w:vAlign w:val="center"/>
          </w:tcPr>
          <w:p>
            <w:pPr>
              <w:jc w:val="center"/>
              <w:textAlignment w:val="center"/>
              <w:rPr>
                <w:kern w:val="0"/>
                <w:sz w:val="18"/>
                <w:szCs w:val="18"/>
              </w:rPr>
            </w:pPr>
            <w:r>
              <w:rPr>
                <w:kern w:val="0"/>
                <w:sz w:val="18"/>
                <w:szCs w:val="18"/>
              </w:rPr>
              <w:t>指标名称</w:t>
            </w:r>
          </w:p>
        </w:tc>
        <w:tc>
          <w:tcPr>
            <w:tcW w:w="1168" w:type="dxa"/>
            <w:tcBorders>
              <w:top w:val="single" w:color="auto" w:sz="8" w:space="0"/>
              <w:left w:val="single" w:color="auto" w:sz="2" w:space="0"/>
              <w:bottom w:val="single" w:color="auto" w:sz="4" w:space="0"/>
              <w:right w:val="single" w:color="auto" w:sz="2" w:space="0"/>
            </w:tcBorders>
            <w:vAlign w:val="center"/>
          </w:tcPr>
          <w:p>
            <w:pPr>
              <w:widowControl/>
              <w:jc w:val="center"/>
              <w:textAlignment w:val="center"/>
              <w:rPr>
                <w:kern w:val="0"/>
                <w:sz w:val="18"/>
                <w:szCs w:val="18"/>
              </w:rPr>
            </w:pPr>
            <w:r>
              <w:rPr>
                <w:kern w:val="0"/>
                <w:sz w:val="18"/>
                <w:szCs w:val="18"/>
              </w:rPr>
              <w:t>上年增加值</w:t>
            </w:r>
          </w:p>
          <w:p>
            <w:pPr>
              <w:widowControl/>
              <w:jc w:val="center"/>
              <w:textAlignment w:val="center"/>
              <w:rPr>
                <w:kern w:val="0"/>
                <w:sz w:val="18"/>
                <w:szCs w:val="18"/>
              </w:rPr>
            </w:pPr>
            <w:r>
              <w:rPr>
                <w:kern w:val="0"/>
                <w:sz w:val="18"/>
                <w:szCs w:val="18"/>
              </w:rPr>
              <w:t>增速</w:t>
            </w:r>
            <w:r>
              <w:rPr>
                <w:rFonts w:hint="eastAsia"/>
                <w:kern w:val="0"/>
                <w:sz w:val="18"/>
                <w:szCs w:val="18"/>
              </w:rPr>
              <w:t>（</w:t>
            </w:r>
            <w:r>
              <w:rPr>
                <w:rFonts w:ascii="宋体" w:hAnsi="宋体"/>
                <w:kern w:val="0"/>
                <w:sz w:val="18"/>
                <w:szCs w:val="18"/>
              </w:rPr>
              <w:t>%</w:t>
            </w:r>
            <w:r>
              <w:rPr>
                <w:rFonts w:hint="eastAsia"/>
                <w:kern w:val="0"/>
                <w:sz w:val="18"/>
                <w:szCs w:val="18"/>
              </w:rPr>
              <w:t>）</w:t>
            </w:r>
          </w:p>
        </w:tc>
        <w:tc>
          <w:tcPr>
            <w:tcW w:w="1147" w:type="dxa"/>
            <w:tcBorders>
              <w:top w:val="single" w:color="auto" w:sz="8" w:space="0"/>
              <w:left w:val="single" w:color="auto" w:sz="2" w:space="0"/>
              <w:bottom w:val="single" w:color="auto" w:sz="4" w:space="0"/>
              <w:right w:val="single" w:color="auto" w:sz="2" w:space="0"/>
            </w:tcBorders>
            <w:vAlign w:val="center"/>
          </w:tcPr>
          <w:p>
            <w:pPr>
              <w:widowControl/>
              <w:jc w:val="center"/>
              <w:textAlignment w:val="center"/>
              <w:rPr>
                <w:kern w:val="0"/>
                <w:sz w:val="18"/>
                <w:szCs w:val="18"/>
              </w:rPr>
            </w:pPr>
            <w:r>
              <w:rPr>
                <w:kern w:val="0"/>
                <w:sz w:val="18"/>
                <w:szCs w:val="18"/>
              </w:rPr>
              <w:t>上年能源</w:t>
            </w:r>
          </w:p>
          <w:p>
            <w:pPr>
              <w:widowControl/>
              <w:jc w:val="center"/>
              <w:textAlignment w:val="center"/>
              <w:rPr>
                <w:kern w:val="0"/>
                <w:sz w:val="18"/>
                <w:szCs w:val="18"/>
              </w:rPr>
            </w:pPr>
            <w:r>
              <w:rPr>
                <w:kern w:val="0"/>
                <w:sz w:val="18"/>
                <w:szCs w:val="18"/>
              </w:rPr>
              <w:t>消费量增速（</w:t>
            </w:r>
            <w:r>
              <w:rPr>
                <w:rFonts w:ascii="宋体" w:hAnsi="宋体"/>
                <w:kern w:val="0"/>
                <w:sz w:val="18"/>
                <w:szCs w:val="18"/>
              </w:rPr>
              <w:t>%</w:t>
            </w:r>
            <w:r>
              <w:rPr>
                <w:kern w:val="0"/>
                <w:sz w:val="18"/>
                <w:szCs w:val="18"/>
              </w:rPr>
              <w:t>）</w:t>
            </w:r>
          </w:p>
        </w:tc>
        <w:tc>
          <w:tcPr>
            <w:tcW w:w="1146" w:type="dxa"/>
            <w:tcBorders>
              <w:top w:val="single" w:color="auto" w:sz="8" w:space="0"/>
              <w:left w:val="single" w:color="auto" w:sz="2" w:space="0"/>
              <w:bottom w:val="single" w:color="auto" w:sz="4" w:space="0"/>
              <w:right w:val="single" w:color="auto" w:sz="2" w:space="0"/>
            </w:tcBorders>
            <w:vAlign w:val="center"/>
          </w:tcPr>
          <w:p>
            <w:pPr>
              <w:widowControl/>
              <w:jc w:val="center"/>
              <w:textAlignment w:val="center"/>
              <w:rPr>
                <w:kern w:val="0"/>
                <w:sz w:val="18"/>
                <w:szCs w:val="18"/>
              </w:rPr>
            </w:pPr>
            <w:r>
              <w:rPr>
                <w:kern w:val="0"/>
                <w:sz w:val="18"/>
                <w:szCs w:val="18"/>
              </w:rPr>
              <w:t>上年能源消</w:t>
            </w:r>
          </w:p>
          <w:p>
            <w:pPr>
              <w:widowControl/>
              <w:jc w:val="center"/>
              <w:textAlignment w:val="center"/>
              <w:rPr>
                <w:kern w:val="0"/>
                <w:sz w:val="18"/>
                <w:szCs w:val="18"/>
              </w:rPr>
            </w:pPr>
            <w:r>
              <w:rPr>
                <w:kern w:val="0"/>
                <w:sz w:val="18"/>
                <w:szCs w:val="18"/>
              </w:rPr>
              <w:t>费弹性系数</w:t>
            </w:r>
          </w:p>
        </w:tc>
        <w:tc>
          <w:tcPr>
            <w:tcW w:w="1134" w:type="dxa"/>
            <w:tcBorders>
              <w:top w:val="single" w:color="auto" w:sz="8" w:space="0"/>
              <w:left w:val="single" w:color="auto" w:sz="2" w:space="0"/>
              <w:bottom w:val="single" w:color="auto" w:sz="4" w:space="0"/>
              <w:right w:val="nil"/>
            </w:tcBorders>
            <w:vAlign w:val="center"/>
          </w:tcPr>
          <w:p>
            <w:pPr>
              <w:widowControl/>
              <w:jc w:val="center"/>
              <w:textAlignment w:val="center"/>
              <w:rPr>
                <w:kern w:val="0"/>
                <w:sz w:val="18"/>
                <w:szCs w:val="18"/>
              </w:rPr>
            </w:pPr>
            <w:r>
              <w:rPr>
                <w:kern w:val="0"/>
                <w:sz w:val="18"/>
                <w:szCs w:val="18"/>
              </w:rPr>
              <w:t>本期增加值</w:t>
            </w:r>
          </w:p>
          <w:p>
            <w:pPr>
              <w:widowControl/>
              <w:jc w:val="center"/>
              <w:textAlignment w:val="center"/>
              <w:rPr>
                <w:kern w:val="0"/>
                <w:sz w:val="18"/>
                <w:szCs w:val="18"/>
              </w:rPr>
            </w:pPr>
            <w:r>
              <w:rPr>
                <w:kern w:val="0"/>
                <w:sz w:val="18"/>
                <w:szCs w:val="18"/>
              </w:rPr>
              <w:t>增速（</w:t>
            </w:r>
            <w:r>
              <w:rPr>
                <w:rFonts w:ascii="宋体" w:hAnsi="宋体"/>
                <w:kern w:val="0"/>
                <w:sz w:val="18"/>
                <w:szCs w:val="18"/>
              </w:rPr>
              <w:t>%</w:t>
            </w:r>
            <w:r>
              <w:rPr>
                <w:kern w:val="0"/>
                <w:sz w:val="18"/>
                <w:szCs w:val="18"/>
              </w:rPr>
              <w:t>）</w:t>
            </w:r>
          </w:p>
        </w:tc>
        <w:tc>
          <w:tcPr>
            <w:tcW w:w="1316" w:type="dxa"/>
            <w:tcBorders>
              <w:top w:val="single" w:color="auto" w:sz="8" w:space="0"/>
              <w:left w:val="single" w:color="auto" w:sz="2" w:space="0"/>
              <w:bottom w:val="single" w:color="auto" w:sz="4" w:space="0"/>
            </w:tcBorders>
            <w:vAlign w:val="center"/>
          </w:tcPr>
          <w:p>
            <w:pPr>
              <w:widowControl/>
              <w:jc w:val="center"/>
              <w:textAlignment w:val="center"/>
              <w:rPr>
                <w:kern w:val="0"/>
                <w:sz w:val="18"/>
                <w:szCs w:val="18"/>
              </w:rPr>
            </w:pPr>
            <w:r>
              <w:rPr>
                <w:kern w:val="0"/>
                <w:sz w:val="18"/>
                <w:szCs w:val="18"/>
              </w:rPr>
              <w:t>本期能源消费量增速（</w:t>
            </w:r>
            <w:r>
              <w:rPr>
                <w:rFonts w:ascii="宋体" w:hAnsi="宋体"/>
                <w:kern w:val="0"/>
                <w:sz w:val="18"/>
                <w:szCs w:val="18"/>
              </w:rPr>
              <w:t>%</w:t>
            </w:r>
            <w:r>
              <w:rPr>
                <w:kern w:val="0"/>
                <w:sz w:val="18"/>
                <w:szCs w:val="18"/>
              </w:rPr>
              <w:t>）</w:t>
            </w:r>
          </w:p>
        </w:tc>
      </w:tr>
      <w:tr>
        <w:tblPrEx>
          <w:tblLayout w:type="fixed"/>
          <w:tblCellMar>
            <w:top w:w="0" w:type="dxa"/>
            <w:left w:w="108" w:type="dxa"/>
            <w:bottom w:w="0" w:type="dxa"/>
            <w:right w:w="108" w:type="dxa"/>
          </w:tblCellMar>
        </w:tblPrEx>
        <w:trPr>
          <w:trHeight w:val="306" w:hRule="atLeast"/>
        </w:trPr>
        <w:tc>
          <w:tcPr>
            <w:tcW w:w="3510"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kern w:val="0"/>
                <w:sz w:val="18"/>
                <w:szCs w:val="18"/>
              </w:rPr>
            </w:pPr>
            <w:r>
              <w:rPr>
                <w:kern w:val="0"/>
                <w:sz w:val="18"/>
                <w:szCs w:val="18"/>
              </w:rPr>
              <w:t>甲</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kern w:val="0"/>
                <w:sz w:val="18"/>
                <w:szCs w:val="18"/>
              </w:rPr>
            </w:pPr>
            <w:r>
              <w:rPr>
                <w:kern w:val="0"/>
                <w:sz w:val="18"/>
                <w:szCs w:val="18"/>
              </w:rPr>
              <w:t>1</w:t>
            </w:r>
          </w:p>
        </w:tc>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kern w:val="0"/>
                <w:sz w:val="18"/>
                <w:szCs w:val="18"/>
              </w:rPr>
            </w:pPr>
            <w:r>
              <w:rPr>
                <w:kern w:val="0"/>
                <w:sz w:val="18"/>
                <w:szCs w:val="18"/>
              </w:rPr>
              <w:t>2</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kern w:val="0"/>
                <w:sz w:val="18"/>
                <w:szCs w:val="18"/>
              </w:rPr>
            </w:pPr>
            <w:r>
              <w:rPr>
                <w:kern w:val="0"/>
                <w:sz w:val="18"/>
                <w:szCs w:val="18"/>
              </w:rPr>
              <w:t>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kern w:val="0"/>
                <w:sz w:val="18"/>
                <w:szCs w:val="18"/>
              </w:rPr>
            </w:pPr>
            <w:r>
              <w:rPr>
                <w:kern w:val="0"/>
                <w:sz w:val="18"/>
                <w:szCs w:val="18"/>
              </w:rPr>
              <w:t>4</w:t>
            </w:r>
          </w:p>
        </w:tc>
        <w:tc>
          <w:tcPr>
            <w:tcW w:w="1316" w:type="dxa"/>
            <w:tcBorders>
              <w:top w:val="single" w:color="auto" w:sz="4" w:space="0"/>
              <w:left w:val="single" w:color="auto" w:sz="4" w:space="0"/>
              <w:bottom w:val="single" w:color="auto" w:sz="4" w:space="0"/>
              <w:right w:val="nil"/>
            </w:tcBorders>
            <w:vAlign w:val="center"/>
          </w:tcPr>
          <w:p>
            <w:pPr>
              <w:widowControl/>
              <w:spacing w:line="240" w:lineRule="exact"/>
              <w:jc w:val="center"/>
              <w:textAlignment w:val="center"/>
              <w:rPr>
                <w:kern w:val="0"/>
                <w:sz w:val="18"/>
                <w:szCs w:val="18"/>
              </w:rPr>
            </w:pPr>
            <w:r>
              <w:rPr>
                <w:kern w:val="0"/>
                <w:sz w:val="18"/>
                <w:szCs w:val="18"/>
              </w:rPr>
              <w:t>5</w:t>
            </w:r>
          </w:p>
        </w:tc>
      </w:tr>
      <w:tr>
        <w:tblPrEx>
          <w:tblLayout w:type="fixed"/>
          <w:tblCellMar>
            <w:top w:w="0" w:type="dxa"/>
            <w:left w:w="108" w:type="dxa"/>
            <w:bottom w:w="0" w:type="dxa"/>
            <w:right w:w="108" w:type="dxa"/>
          </w:tblCellMar>
        </w:tblPrEx>
        <w:trPr>
          <w:trHeight w:val="254" w:hRule="atLeast"/>
        </w:trPr>
        <w:tc>
          <w:tcPr>
            <w:tcW w:w="3510" w:type="dxa"/>
            <w:tcBorders>
              <w:top w:val="single" w:color="auto" w:sz="4" w:space="0"/>
              <w:left w:val="nil"/>
              <w:right w:val="single" w:color="auto" w:sz="2" w:space="0"/>
            </w:tcBorders>
            <w:vAlign w:val="center"/>
          </w:tcPr>
          <w:p>
            <w:pPr>
              <w:widowControl/>
              <w:ind w:left="-105" w:leftChars="-50" w:right="-105" w:rightChars="-50"/>
              <w:textAlignment w:val="center"/>
              <w:rPr>
                <w:kern w:val="0"/>
                <w:sz w:val="18"/>
                <w:szCs w:val="18"/>
              </w:rPr>
            </w:pPr>
            <w:r>
              <w:rPr>
                <w:kern w:val="0"/>
                <w:sz w:val="18"/>
                <w:szCs w:val="18"/>
              </w:rPr>
              <w:t>农、林、牧、渔业</w:t>
            </w:r>
          </w:p>
        </w:tc>
        <w:tc>
          <w:tcPr>
            <w:tcW w:w="1168" w:type="dxa"/>
            <w:vMerge w:val="restart"/>
            <w:tcBorders>
              <w:top w:val="single" w:color="auto" w:sz="4" w:space="0"/>
              <w:left w:val="single" w:color="auto" w:sz="2" w:space="0"/>
              <w:right w:val="single" w:color="auto" w:sz="2" w:space="0"/>
            </w:tcBorders>
            <w:vAlign w:val="center"/>
          </w:tcPr>
          <w:p>
            <w:pPr>
              <w:widowControl/>
              <w:jc w:val="center"/>
              <w:textAlignment w:val="center"/>
              <w:rPr>
                <w:kern w:val="0"/>
                <w:sz w:val="18"/>
                <w:szCs w:val="18"/>
              </w:rPr>
            </w:pPr>
          </w:p>
        </w:tc>
        <w:tc>
          <w:tcPr>
            <w:tcW w:w="1147" w:type="dxa"/>
            <w:vMerge w:val="restart"/>
            <w:tcBorders>
              <w:top w:val="single" w:color="auto" w:sz="4" w:space="0"/>
              <w:left w:val="single" w:color="auto" w:sz="2" w:space="0"/>
              <w:right w:val="single" w:color="auto" w:sz="2" w:space="0"/>
            </w:tcBorders>
            <w:vAlign w:val="center"/>
          </w:tcPr>
          <w:p>
            <w:pPr>
              <w:widowControl/>
              <w:jc w:val="center"/>
              <w:textAlignment w:val="center"/>
              <w:rPr>
                <w:kern w:val="0"/>
                <w:sz w:val="18"/>
                <w:szCs w:val="18"/>
              </w:rPr>
            </w:pPr>
          </w:p>
        </w:tc>
        <w:tc>
          <w:tcPr>
            <w:tcW w:w="1146" w:type="dxa"/>
            <w:vMerge w:val="restart"/>
            <w:tcBorders>
              <w:top w:val="single" w:color="auto" w:sz="4" w:space="0"/>
              <w:left w:val="single" w:color="auto" w:sz="2" w:space="0"/>
              <w:right w:val="single" w:color="auto" w:sz="2" w:space="0"/>
            </w:tcBorders>
            <w:vAlign w:val="center"/>
          </w:tcPr>
          <w:p>
            <w:pPr>
              <w:widowControl/>
              <w:jc w:val="center"/>
              <w:textAlignment w:val="center"/>
              <w:rPr>
                <w:kern w:val="0"/>
                <w:sz w:val="18"/>
                <w:szCs w:val="18"/>
              </w:rPr>
            </w:pPr>
            <w:r>
              <w:rPr>
                <w:kern w:val="0"/>
                <w:sz w:val="18"/>
                <w:szCs w:val="18"/>
              </w:rPr>
              <w:t>3=2/1</w:t>
            </w:r>
          </w:p>
        </w:tc>
        <w:tc>
          <w:tcPr>
            <w:tcW w:w="1134" w:type="dxa"/>
            <w:vMerge w:val="restart"/>
            <w:tcBorders>
              <w:top w:val="single" w:color="auto" w:sz="4" w:space="0"/>
              <w:left w:val="single" w:color="auto" w:sz="2" w:space="0"/>
              <w:right w:val="single" w:color="auto" w:sz="4" w:space="0"/>
            </w:tcBorders>
            <w:vAlign w:val="center"/>
          </w:tcPr>
          <w:p>
            <w:pPr>
              <w:widowControl/>
              <w:jc w:val="center"/>
              <w:textAlignment w:val="center"/>
              <w:rPr>
                <w:kern w:val="0"/>
                <w:sz w:val="18"/>
                <w:szCs w:val="18"/>
              </w:rPr>
            </w:pPr>
          </w:p>
        </w:tc>
        <w:tc>
          <w:tcPr>
            <w:tcW w:w="1316" w:type="dxa"/>
            <w:vMerge w:val="restart"/>
            <w:tcBorders>
              <w:top w:val="single" w:color="auto" w:sz="4" w:space="0"/>
              <w:left w:val="single" w:color="auto" w:sz="2" w:space="0"/>
              <w:bottom w:val="single" w:color="auto" w:sz="2" w:space="0"/>
            </w:tcBorders>
            <w:vAlign w:val="center"/>
          </w:tcPr>
          <w:p>
            <w:pPr>
              <w:widowControl/>
              <w:jc w:val="center"/>
              <w:textAlignment w:val="center"/>
              <w:rPr>
                <w:kern w:val="0"/>
                <w:sz w:val="18"/>
                <w:szCs w:val="18"/>
              </w:rPr>
            </w:pPr>
            <w:r>
              <w:rPr>
                <w:kern w:val="0"/>
                <w:sz w:val="18"/>
                <w:szCs w:val="18"/>
              </w:rPr>
              <w:t>5=3*4</w:t>
            </w:r>
          </w:p>
        </w:tc>
      </w:tr>
      <w:tr>
        <w:tblPrEx>
          <w:tblLayout w:type="fixed"/>
          <w:tblCellMar>
            <w:top w:w="0" w:type="dxa"/>
            <w:left w:w="108" w:type="dxa"/>
            <w:bottom w:w="0" w:type="dxa"/>
            <w:right w:w="108" w:type="dxa"/>
          </w:tblCellMar>
        </w:tblPrEx>
        <w:trPr>
          <w:trHeight w:val="282" w:hRule="atLeast"/>
        </w:trPr>
        <w:tc>
          <w:tcPr>
            <w:tcW w:w="3510" w:type="dxa"/>
            <w:tcBorders>
              <w:left w:val="nil"/>
              <w:right w:val="single" w:color="auto" w:sz="2" w:space="0"/>
            </w:tcBorders>
            <w:vAlign w:val="center"/>
          </w:tcPr>
          <w:p>
            <w:pPr>
              <w:widowControl/>
              <w:ind w:left="-105" w:leftChars="-50" w:right="-105" w:rightChars="-50"/>
              <w:textAlignment w:val="center"/>
              <w:rPr>
                <w:kern w:val="0"/>
                <w:sz w:val="18"/>
                <w:szCs w:val="18"/>
              </w:rPr>
            </w:pPr>
            <w:r>
              <w:rPr>
                <w:kern w:val="0"/>
                <w:sz w:val="18"/>
                <w:szCs w:val="18"/>
              </w:rPr>
              <w:t>建筑业</w:t>
            </w:r>
          </w:p>
        </w:tc>
        <w:tc>
          <w:tcPr>
            <w:tcW w:w="1168" w:type="dxa"/>
            <w:vMerge w:val="continue"/>
            <w:tcBorders>
              <w:left w:val="single" w:color="auto" w:sz="2" w:space="0"/>
              <w:right w:val="single" w:color="auto" w:sz="2" w:space="0"/>
            </w:tcBorders>
            <w:vAlign w:val="center"/>
          </w:tcPr>
          <w:p>
            <w:pPr>
              <w:widowControl/>
              <w:jc w:val="center"/>
              <w:textAlignment w:val="center"/>
              <w:rPr>
                <w:kern w:val="0"/>
                <w:sz w:val="18"/>
                <w:szCs w:val="18"/>
              </w:rPr>
            </w:pPr>
          </w:p>
        </w:tc>
        <w:tc>
          <w:tcPr>
            <w:tcW w:w="1147" w:type="dxa"/>
            <w:vMerge w:val="continue"/>
            <w:tcBorders>
              <w:left w:val="single" w:color="auto" w:sz="2" w:space="0"/>
              <w:right w:val="single" w:color="auto" w:sz="2" w:space="0"/>
            </w:tcBorders>
            <w:vAlign w:val="center"/>
          </w:tcPr>
          <w:p>
            <w:pPr>
              <w:widowControl/>
              <w:jc w:val="center"/>
              <w:textAlignment w:val="center"/>
              <w:rPr>
                <w:kern w:val="0"/>
                <w:sz w:val="18"/>
                <w:szCs w:val="18"/>
              </w:rPr>
            </w:pPr>
          </w:p>
        </w:tc>
        <w:tc>
          <w:tcPr>
            <w:tcW w:w="1146" w:type="dxa"/>
            <w:vMerge w:val="continue"/>
            <w:tcBorders>
              <w:left w:val="single" w:color="auto" w:sz="2" w:space="0"/>
              <w:right w:val="single" w:color="auto" w:sz="2" w:space="0"/>
            </w:tcBorders>
            <w:vAlign w:val="center"/>
          </w:tcPr>
          <w:p>
            <w:pPr>
              <w:widowControl/>
              <w:jc w:val="center"/>
              <w:textAlignment w:val="center"/>
              <w:rPr>
                <w:kern w:val="0"/>
                <w:sz w:val="18"/>
                <w:szCs w:val="18"/>
              </w:rPr>
            </w:pPr>
          </w:p>
        </w:tc>
        <w:tc>
          <w:tcPr>
            <w:tcW w:w="1134" w:type="dxa"/>
            <w:vMerge w:val="continue"/>
            <w:tcBorders>
              <w:left w:val="single" w:color="auto" w:sz="2" w:space="0"/>
              <w:right w:val="single" w:color="auto" w:sz="2" w:space="0"/>
            </w:tcBorders>
            <w:vAlign w:val="center"/>
          </w:tcPr>
          <w:p>
            <w:pPr>
              <w:widowControl/>
              <w:jc w:val="center"/>
              <w:textAlignment w:val="center"/>
              <w:rPr>
                <w:kern w:val="0"/>
                <w:sz w:val="18"/>
                <w:szCs w:val="18"/>
              </w:rPr>
            </w:pPr>
          </w:p>
        </w:tc>
        <w:tc>
          <w:tcPr>
            <w:tcW w:w="1316" w:type="dxa"/>
            <w:vMerge w:val="continue"/>
            <w:tcBorders>
              <w:top w:val="single" w:color="auto" w:sz="2" w:space="0"/>
              <w:left w:val="single" w:color="auto" w:sz="2" w:space="0"/>
              <w:bottom w:val="single" w:color="auto" w:sz="2" w:space="0"/>
            </w:tcBorders>
          </w:tcPr>
          <w:p>
            <w:pPr>
              <w:widowControl/>
              <w:jc w:val="center"/>
              <w:textAlignment w:val="center"/>
              <w:rPr>
                <w:kern w:val="0"/>
                <w:sz w:val="18"/>
                <w:szCs w:val="18"/>
              </w:rPr>
            </w:pPr>
          </w:p>
        </w:tc>
      </w:tr>
      <w:tr>
        <w:tblPrEx>
          <w:tblLayout w:type="fixed"/>
          <w:tblCellMar>
            <w:top w:w="0" w:type="dxa"/>
            <w:left w:w="108" w:type="dxa"/>
            <w:bottom w:w="0" w:type="dxa"/>
            <w:right w:w="108" w:type="dxa"/>
          </w:tblCellMar>
        </w:tblPrEx>
        <w:trPr>
          <w:trHeight w:val="251" w:hRule="atLeast"/>
        </w:trPr>
        <w:tc>
          <w:tcPr>
            <w:tcW w:w="3510" w:type="dxa"/>
            <w:tcBorders>
              <w:top w:val="nil"/>
              <w:left w:val="nil"/>
              <w:right w:val="single" w:color="auto" w:sz="2" w:space="0"/>
            </w:tcBorders>
            <w:vAlign w:val="center"/>
          </w:tcPr>
          <w:p>
            <w:pPr>
              <w:widowControl/>
              <w:ind w:left="-105" w:leftChars="-50" w:right="-105" w:rightChars="-50"/>
              <w:jc w:val="left"/>
              <w:textAlignment w:val="center"/>
              <w:rPr>
                <w:kern w:val="0"/>
                <w:sz w:val="18"/>
                <w:szCs w:val="18"/>
              </w:rPr>
            </w:pPr>
            <w:r>
              <w:rPr>
                <w:kern w:val="0"/>
                <w:sz w:val="18"/>
                <w:szCs w:val="18"/>
              </w:rPr>
              <w:t>服务业</w:t>
            </w:r>
            <w:r>
              <w:rPr>
                <w:rFonts w:hint="eastAsia"/>
                <w:kern w:val="0"/>
                <w:sz w:val="18"/>
                <w:szCs w:val="18"/>
                <w:vertAlign w:val="superscript"/>
              </w:rPr>
              <w:t>*</w:t>
            </w:r>
          </w:p>
        </w:tc>
        <w:tc>
          <w:tcPr>
            <w:tcW w:w="1168" w:type="dxa"/>
            <w:vMerge w:val="continue"/>
            <w:tcBorders>
              <w:left w:val="single" w:color="auto" w:sz="2" w:space="0"/>
              <w:right w:val="single" w:color="auto" w:sz="2" w:space="0"/>
            </w:tcBorders>
            <w:vAlign w:val="center"/>
          </w:tcPr>
          <w:p>
            <w:pPr>
              <w:widowControl/>
              <w:jc w:val="center"/>
              <w:textAlignment w:val="center"/>
              <w:rPr>
                <w:kern w:val="0"/>
                <w:sz w:val="18"/>
                <w:szCs w:val="18"/>
              </w:rPr>
            </w:pPr>
          </w:p>
        </w:tc>
        <w:tc>
          <w:tcPr>
            <w:tcW w:w="1147" w:type="dxa"/>
            <w:vMerge w:val="continue"/>
            <w:tcBorders>
              <w:left w:val="single" w:color="auto" w:sz="2" w:space="0"/>
              <w:right w:val="single" w:color="auto" w:sz="2" w:space="0"/>
            </w:tcBorders>
            <w:vAlign w:val="center"/>
          </w:tcPr>
          <w:p>
            <w:pPr>
              <w:widowControl/>
              <w:jc w:val="center"/>
              <w:textAlignment w:val="center"/>
              <w:rPr>
                <w:kern w:val="0"/>
                <w:sz w:val="18"/>
                <w:szCs w:val="18"/>
              </w:rPr>
            </w:pPr>
          </w:p>
        </w:tc>
        <w:tc>
          <w:tcPr>
            <w:tcW w:w="1146" w:type="dxa"/>
            <w:vMerge w:val="continue"/>
            <w:tcBorders>
              <w:top w:val="nil"/>
              <w:left w:val="single" w:color="auto" w:sz="2" w:space="0"/>
              <w:right w:val="single" w:color="auto" w:sz="2" w:space="0"/>
            </w:tcBorders>
          </w:tcPr>
          <w:p>
            <w:pPr>
              <w:widowControl/>
              <w:jc w:val="left"/>
              <w:textAlignment w:val="center"/>
              <w:rPr>
                <w:kern w:val="0"/>
                <w:sz w:val="18"/>
                <w:szCs w:val="18"/>
              </w:rPr>
            </w:pPr>
          </w:p>
        </w:tc>
        <w:tc>
          <w:tcPr>
            <w:tcW w:w="1134" w:type="dxa"/>
            <w:vMerge w:val="continue"/>
            <w:tcBorders>
              <w:top w:val="nil"/>
              <w:left w:val="single" w:color="auto" w:sz="2" w:space="0"/>
              <w:right w:val="single" w:color="auto" w:sz="2" w:space="0"/>
            </w:tcBorders>
          </w:tcPr>
          <w:p>
            <w:pPr>
              <w:widowControl/>
              <w:jc w:val="left"/>
              <w:textAlignment w:val="center"/>
              <w:rPr>
                <w:kern w:val="0"/>
                <w:sz w:val="18"/>
                <w:szCs w:val="18"/>
              </w:rPr>
            </w:pPr>
          </w:p>
        </w:tc>
        <w:tc>
          <w:tcPr>
            <w:tcW w:w="1316" w:type="dxa"/>
            <w:vMerge w:val="continue"/>
            <w:tcBorders>
              <w:top w:val="single" w:color="auto" w:sz="2" w:space="0"/>
              <w:left w:val="single" w:color="auto" w:sz="2" w:space="0"/>
              <w:bottom w:val="single" w:color="auto" w:sz="2" w:space="0"/>
            </w:tcBorders>
          </w:tcPr>
          <w:p>
            <w:pPr>
              <w:widowControl/>
              <w:jc w:val="center"/>
              <w:textAlignment w:val="center"/>
              <w:rPr>
                <w:kern w:val="0"/>
                <w:sz w:val="18"/>
                <w:szCs w:val="18"/>
              </w:rPr>
            </w:pPr>
          </w:p>
        </w:tc>
      </w:tr>
      <w:tr>
        <w:tblPrEx>
          <w:tblLayout w:type="fixed"/>
          <w:tblCellMar>
            <w:top w:w="0" w:type="dxa"/>
            <w:left w:w="108" w:type="dxa"/>
            <w:bottom w:w="0" w:type="dxa"/>
            <w:right w:w="108" w:type="dxa"/>
          </w:tblCellMar>
        </w:tblPrEx>
        <w:trPr>
          <w:trHeight w:val="258" w:hRule="atLeast"/>
        </w:trPr>
        <w:tc>
          <w:tcPr>
            <w:tcW w:w="3510" w:type="dxa"/>
            <w:tcBorders>
              <w:top w:val="nil"/>
              <w:left w:val="nil"/>
              <w:right w:val="single" w:color="auto" w:sz="2" w:space="0"/>
            </w:tcBorders>
            <w:vAlign w:val="center"/>
          </w:tcPr>
          <w:p>
            <w:pPr>
              <w:widowControl/>
              <w:ind w:left="-105" w:leftChars="-50" w:right="-105" w:rightChars="-50"/>
              <w:jc w:val="left"/>
              <w:textAlignment w:val="center"/>
              <w:rPr>
                <w:kern w:val="0"/>
                <w:sz w:val="18"/>
                <w:szCs w:val="18"/>
              </w:rPr>
            </w:pPr>
            <w:r>
              <w:rPr>
                <w:kern w:val="0"/>
                <w:sz w:val="18"/>
                <w:szCs w:val="18"/>
              </w:rPr>
              <w:t xml:space="preserve">  交通运输、仓储和邮政业</w:t>
            </w:r>
          </w:p>
        </w:tc>
        <w:tc>
          <w:tcPr>
            <w:tcW w:w="1168" w:type="dxa"/>
            <w:vMerge w:val="continue"/>
            <w:tcBorders>
              <w:left w:val="single" w:color="auto" w:sz="2" w:space="0"/>
              <w:right w:val="single" w:color="auto" w:sz="2" w:space="0"/>
            </w:tcBorders>
            <w:vAlign w:val="center"/>
          </w:tcPr>
          <w:p>
            <w:pPr>
              <w:widowControl/>
              <w:jc w:val="center"/>
              <w:textAlignment w:val="center"/>
              <w:rPr>
                <w:kern w:val="0"/>
                <w:sz w:val="18"/>
                <w:szCs w:val="18"/>
              </w:rPr>
            </w:pPr>
          </w:p>
        </w:tc>
        <w:tc>
          <w:tcPr>
            <w:tcW w:w="1147" w:type="dxa"/>
            <w:vMerge w:val="continue"/>
            <w:tcBorders>
              <w:left w:val="single" w:color="auto" w:sz="2" w:space="0"/>
              <w:right w:val="single" w:color="auto" w:sz="2" w:space="0"/>
            </w:tcBorders>
            <w:vAlign w:val="center"/>
          </w:tcPr>
          <w:p>
            <w:pPr>
              <w:widowControl/>
              <w:jc w:val="center"/>
              <w:textAlignment w:val="center"/>
              <w:rPr>
                <w:kern w:val="0"/>
                <w:sz w:val="18"/>
                <w:szCs w:val="18"/>
              </w:rPr>
            </w:pPr>
          </w:p>
        </w:tc>
        <w:tc>
          <w:tcPr>
            <w:tcW w:w="1146" w:type="dxa"/>
            <w:vMerge w:val="continue"/>
            <w:tcBorders>
              <w:top w:val="nil"/>
              <w:left w:val="single" w:color="auto" w:sz="2" w:space="0"/>
              <w:right w:val="single" w:color="auto" w:sz="2" w:space="0"/>
            </w:tcBorders>
          </w:tcPr>
          <w:p>
            <w:pPr>
              <w:widowControl/>
              <w:jc w:val="left"/>
              <w:textAlignment w:val="center"/>
              <w:rPr>
                <w:kern w:val="0"/>
                <w:sz w:val="18"/>
                <w:szCs w:val="18"/>
              </w:rPr>
            </w:pPr>
          </w:p>
        </w:tc>
        <w:tc>
          <w:tcPr>
            <w:tcW w:w="1134" w:type="dxa"/>
            <w:vMerge w:val="continue"/>
            <w:tcBorders>
              <w:top w:val="nil"/>
              <w:left w:val="single" w:color="auto" w:sz="2" w:space="0"/>
              <w:right w:val="single" w:color="auto" w:sz="2" w:space="0"/>
            </w:tcBorders>
          </w:tcPr>
          <w:p>
            <w:pPr>
              <w:widowControl/>
              <w:jc w:val="left"/>
              <w:textAlignment w:val="center"/>
              <w:rPr>
                <w:kern w:val="0"/>
                <w:sz w:val="18"/>
                <w:szCs w:val="18"/>
              </w:rPr>
            </w:pPr>
          </w:p>
        </w:tc>
        <w:tc>
          <w:tcPr>
            <w:tcW w:w="1316" w:type="dxa"/>
            <w:vMerge w:val="continue"/>
            <w:tcBorders>
              <w:top w:val="single" w:color="auto" w:sz="2" w:space="0"/>
              <w:left w:val="single" w:color="auto" w:sz="2" w:space="0"/>
              <w:bottom w:val="single" w:color="auto" w:sz="2" w:space="0"/>
            </w:tcBorders>
          </w:tcPr>
          <w:p>
            <w:pPr>
              <w:widowControl/>
              <w:jc w:val="left"/>
              <w:textAlignment w:val="center"/>
              <w:rPr>
                <w:kern w:val="0"/>
                <w:sz w:val="18"/>
                <w:szCs w:val="18"/>
              </w:rPr>
            </w:pPr>
          </w:p>
        </w:tc>
      </w:tr>
      <w:tr>
        <w:tblPrEx>
          <w:tblLayout w:type="fixed"/>
          <w:tblCellMar>
            <w:top w:w="0" w:type="dxa"/>
            <w:left w:w="108" w:type="dxa"/>
            <w:bottom w:w="0" w:type="dxa"/>
            <w:right w:w="108" w:type="dxa"/>
          </w:tblCellMar>
        </w:tblPrEx>
        <w:trPr>
          <w:trHeight w:val="265" w:hRule="atLeast"/>
        </w:trPr>
        <w:tc>
          <w:tcPr>
            <w:tcW w:w="3510" w:type="dxa"/>
            <w:tcBorders>
              <w:top w:val="nil"/>
              <w:left w:val="nil"/>
              <w:bottom w:val="single" w:color="auto" w:sz="4" w:space="0"/>
              <w:right w:val="single" w:color="auto" w:sz="2" w:space="0"/>
            </w:tcBorders>
            <w:vAlign w:val="center"/>
          </w:tcPr>
          <w:p>
            <w:pPr>
              <w:widowControl/>
              <w:ind w:left="-105" w:leftChars="-50" w:right="-105" w:rightChars="-50"/>
              <w:jc w:val="left"/>
              <w:textAlignment w:val="center"/>
              <w:rPr>
                <w:kern w:val="0"/>
                <w:sz w:val="18"/>
                <w:szCs w:val="18"/>
              </w:rPr>
            </w:pPr>
            <w:r>
              <w:rPr>
                <w:kern w:val="0"/>
                <w:sz w:val="18"/>
                <w:szCs w:val="18"/>
              </w:rPr>
              <w:t xml:space="preserve">  服务业</w:t>
            </w:r>
            <w:r>
              <w:rPr>
                <w:kern w:val="0"/>
                <w:sz w:val="18"/>
                <w:szCs w:val="18"/>
                <w:vertAlign w:val="superscript"/>
              </w:rPr>
              <w:t>*</w:t>
            </w:r>
            <w:r>
              <w:rPr>
                <w:rFonts w:hint="eastAsia"/>
                <w:kern w:val="0"/>
                <w:sz w:val="18"/>
                <w:szCs w:val="18"/>
              </w:rPr>
              <w:t>（</w:t>
            </w:r>
            <w:r>
              <w:rPr>
                <w:kern w:val="0"/>
                <w:sz w:val="18"/>
                <w:szCs w:val="18"/>
              </w:rPr>
              <w:t>不含交通运输、仓储和邮政业</w:t>
            </w:r>
            <w:r>
              <w:rPr>
                <w:rFonts w:hint="eastAsia"/>
                <w:kern w:val="0"/>
                <w:sz w:val="18"/>
                <w:szCs w:val="18"/>
              </w:rPr>
              <w:t>）</w:t>
            </w:r>
          </w:p>
        </w:tc>
        <w:tc>
          <w:tcPr>
            <w:tcW w:w="1168" w:type="dxa"/>
            <w:vMerge w:val="continue"/>
            <w:tcBorders>
              <w:left w:val="single" w:color="auto" w:sz="2" w:space="0"/>
              <w:bottom w:val="single" w:color="auto" w:sz="4" w:space="0"/>
              <w:right w:val="single" w:color="auto" w:sz="2" w:space="0"/>
            </w:tcBorders>
            <w:vAlign w:val="center"/>
          </w:tcPr>
          <w:p>
            <w:pPr>
              <w:widowControl/>
              <w:jc w:val="center"/>
              <w:textAlignment w:val="center"/>
              <w:rPr>
                <w:kern w:val="0"/>
                <w:sz w:val="18"/>
                <w:szCs w:val="18"/>
              </w:rPr>
            </w:pPr>
          </w:p>
        </w:tc>
        <w:tc>
          <w:tcPr>
            <w:tcW w:w="1147" w:type="dxa"/>
            <w:vMerge w:val="continue"/>
            <w:tcBorders>
              <w:left w:val="single" w:color="auto" w:sz="2" w:space="0"/>
              <w:bottom w:val="single" w:color="auto" w:sz="4" w:space="0"/>
              <w:right w:val="single" w:color="auto" w:sz="2" w:space="0"/>
            </w:tcBorders>
            <w:vAlign w:val="center"/>
          </w:tcPr>
          <w:p>
            <w:pPr>
              <w:widowControl/>
              <w:jc w:val="center"/>
              <w:textAlignment w:val="center"/>
              <w:rPr>
                <w:kern w:val="0"/>
                <w:sz w:val="18"/>
                <w:szCs w:val="18"/>
              </w:rPr>
            </w:pPr>
          </w:p>
        </w:tc>
        <w:tc>
          <w:tcPr>
            <w:tcW w:w="1146" w:type="dxa"/>
            <w:vMerge w:val="continue"/>
            <w:tcBorders>
              <w:top w:val="nil"/>
              <w:left w:val="single" w:color="auto" w:sz="2" w:space="0"/>
              <w:bottom w:val="single" w:color="auto" w:sz="4" w:space="0"/>
              <w:right w:val="single" w:color="auto" w:sz="2" w:space="0"/>
            </w:tcBorders>
            <w:vAlign w:val="center"/>
          </w:tcPr>
          <w:p>
            <w:pPr>
              <w:widowControl/>
              <w:jc w:val="left"/>
              <w:textAlignment w:val="center"/>
              <w:rPr>
                <w:kern w:val="0"/>
                <w:sz w:val="18"/>
                <w:szCs w:val="18"/>
              </w:rPr>
            </w:pPr>
          </w:p>
        </w:tc>
        <w:tc>
          <w:tcPr>
            <w:tcW w:w="1134" w:type="dxa"/>
            <w:vMerge w:val="continue"/>
            <w:tcBorders>
              <w:top w:val="nil"/>
              <w:left w:val="single" w:color="auto" w:sz="2" w:space="0"/>
              <w:bottom w:val="single" w:color="auto" w:sz="4" w:space="0"/>
              <w:right w:val="single" w:color="auto" w:sz="2" w:space="0"/>
            </w:tcBorders>
            <w:vAlign w:val="center"/>
          </w:tcPr>
          <w:p>
            <w:pPr>
              <w:widowControl/>
              <w:jc w:val="left"/>
              <w:textAlignment w:val="center"/>
              <w:rPr>
                <w:kern w:val="0"/>
                <w:sz w:val="18"/>
                <w:szCs w:val="18"/>
              </w:rPr>
            </w:pPr>
          </w:p>
        </w:tc>
        <w:tc>
          <w:tcPr>
            <w:tcW w:w="1316" w:type="dxa"/>
            <w:vMerge w:val="continue"/>
            <w:tcBorders>
              <w:top w:val="single" w:color="auto" w:sz="2" w:space="0"/>
              <w:left w:val="single" w:color="auto" w:sz="2" w:space="0"/>
              <w:bottom w:val="single" w:color="auto" w:sz="2" w:space="0"/>
            </w:tcBorders>
          </w:tcPr>
          <w:p>
            <w:pPr>
              <w:widowControl/>
              <w:jc w:val="left"/>
              <w:textAlignment w:val="center"/>
              <w:rPr>
                <w:kern w:val="0"/>
                <w:sz w:val="18"/>
                <w:szCs w:val="18"/>
              </w:rPr>
            </w:pPr>
          </w:p>
        </w:tc>
      </w:tr>
    </w:tbl>
    <w:p>
      <w:pPr>
        <w:spacing w:line="360" w:lineRule="exact"/>
        <w:ind w:firstLine="424" w:firstLineChars="202"/>
        <w:textAlignment w:val="center"/>
        <w:rPr>
          <w:rFonts w:ascii="宋体" w:hAnsi="宋体"/>
          <w:szCs w:val="21"/>
        </w:rPr>
      </w:pPr>
      <w:r>
        <w:rPr>
          <w:rFonts w:ascii="宋体" w:hAnsi="宋体"/>
          <w:szCs w:val="21"/>
        </w:rPr>
        <w:t>说明</w:t>
      </w:r>
      <w:r>
        <w:rPr>
          <w:szCs w:val="21"/>
        </w:rPr>
        <w:t>：</w:t>
      </w:r>
      <w:r>
        <w:rPr>
          <w:rFonts w:ascii="宋体" w:hAnsi="宋体"/>
          <w:szCs w:val="21"/>
        </w:rPr>
        <w:t>当经济运行正常</w:t>
      </w:r>
      <w:r>
        <w:rPr>
          <w:rFonts w:hint="eastAsia" w:ascii="宋体" w:hAnsi="宋体"/>
          <w:szCs w:val="21"/>
        </w:rPr>
        <w:t>、</w:t>
      </w:r>
      <w:r>
        <w:rPr>
          <w:rFonts w:ascii="宋体" w:hAnsi="宋体"/>
          <w:szCs w:val="21"/>
        </w:rPr>
        <w:t>数据波动较平稳时</w:t>
      </w:r>
      <w:r>
        <w:rPr>
          <w:szCs w:val="21"/>
        </w:rPr>
        <w:t>，</w:t>
      </w:r>
      <w:r>
        <w:rPr>
          <w:rFonts w:ascii="宋体" w:hAnsi="宋体"/>
          <w:szCs w:val="21"/>
        </w:rPr>
        <w:t>采用上年能源消费弹性系数</w:t>
      </w:r>
      <w:r>
        <w:rPr>
          <w:szCs w:val="21"/>
        </w:rPr>
        <w:t>；</w:t>
      </w:r>
      <w:r>
        <w:rPr>
          <w:rFonts w:ascii="宋体" w:hAnsi="宋体"/>
          <w:szCs w:val="21"/>
        </w:rPr>
        <w:t>当经济运行不正常</w:t>
      </w:r>
      <w:r>
        <w:rPr>
          <w:szCs w:val="21"/>
        </w:rPr>
        <w:t>，</w:t>
      </w:r>
      <w:r>
        <w:rPr>
          <w:rFonts w:ascii="宋体" w:hAnsi="宋体"/>
          <w:szCs w:val="21"/>
        </w:rPr>
        <w:t>或部分行业上年弹性系数为负、弹性系数过大及弹性系数接近零的情况下</w:t>
      </w:r>
      <w:r>
        <w:rPr>
          <w:szCs w:val="21"/>
        </w:rPr>
        <w:t>，</w:t>
      </w:r>
      <w:r>
        <w:rPr>
          <w:rFonts w:ascii="宋体" w:hAnsi="宋体"/>
          <w:szCs w:val="21"/>
        </w:rPr>
        <w:t>可采用</w:t>
      </w:r>
      <w:r>
        <w:rPr>
          <w:rFonts w:hint="eastAsia" w:ascii="宋体" w:hAnsi="宋体"/>
          <w:szCs w:val="21"/>
        </w:rPr>
        <w:t>往年</w:t>
      </w:r>
      <w:r>
        <w:rPr>
          <w:rFonts w:ascii="宋体" w:hAnsi="宋体"/>
          <w:szCs w:val="21"/>
        </w:rPr>
        <w:t xml:space="preserve">弹性系数。 </w:t>
      </w:r>
    </w:p>
    <w:p>
      <w:pPr>
        <w:spacing w:line="360" w:lineRule="exact"/>
        <w:ind w:right="-40" w:firstLine="430" w:firstLineChars="205"/>
        <w:textAlignment w:val="center"/>
        <w:rPr>
          <w:rFonts w:eastAsia="黑体"/>
          <w:szCs w:val="21"/>
        </w:rPr>
      </w:pPr>
      <w:r>
        <w:rPr>
          <w:rFonts w:eastAsia="黑体"/>
          <w:szCs w:val="21"/>
        </w:rPr>
        <w:t>三、</w:t>
      </w:r>
      <w:r>
        <w:rPr>
          <w:rFonts w:hint="eastAsia" w:eastAsia="黑体"/>
          <w:szCs w:val="21"/>
        </w:rPr>
        <w:t>分行业</w:t>
      </w:r>
      <w:r>
        <w:rPr>
          <w:rFonts w:eastAsia="黑体"/>
          <w:szCs w:val="21"/>
        </w:rPr>
        <w:t>和居民生活核算情况</w:t>
      </w:r>
    </w:p>
    <w:p>
      <w:pPr>
        <w:spacing w:line="360" w:lineRule="exact"/>
        <w:ind w:right="-40" w:firstLine="424" w:firstLineChars="202"/>
        <w:textAlignment w:val="center"/>
        <w:rPr>
          <w:rFonts w:ascii="楷体_GB2312" w:eastAsia="楷体_GB2312"/>
          <w:szCs w:val="21"/>
        </w:rPr>
      </w:pPr>
      <w:r>
        <w:rPr>
          <w:rFonts w:hint="eastAsia" w:ascii="楷体_GB2312" w:eastAsia="楷体_GB2312"/>
          <w:szCs w:val="21"/>
        </w:rPr>
        <w:t>（一）农、林、牧、渔业</w:t>
      </w:r>
    </w:p>
    <w:p>
      <w:pPr>
        <w:spacing w:line="360" w:lineRule="exact"/>
        <w:ind w:right="-40" w:firstLine="430" w:firstLineChars="205"/>
        <w:textAlignment w:val="center"/>
        <w:rPr>
          <w:szCs w:val="21"/>
          <w:lang w:val="zh-CN"/>
        </w:rPr>
      </w:pPr>
      <w:r>
        <w:rPr>
          <w:szCs w:val="21"/>
        </w:rPr>
        <w:t>分别</w:t>
      </w:r>
      <w:r>
        <w:rPr>
          <w:rFonts w:hint="eastAsia"/>
          <w:szCs w:val="21"/>
        </w:rPr>
        <w:t>按照</w:t>
      </w:r>
      <w:r>
        <w:rPr>
          <w:szCs w:val="21"/>
        </w:rPr>
        <w:t>核算方法</w:t>
      </w:r>
      <w:r>
        <w:rPr>
          <w:rFonts w:hint="eastAsia"/>
          <w:szCs w:val="21"/>
        </w:rPr>
        <w:t>一、</w:t>
      </w:r>
      <w:r>
        <w:rPr>
          <w:szCs w:val="21"/>
        </w:rPr>
        <w:t>核算方法</w:t>
      </w:r>
      <w:r>
        <w:rPr>
          <w:rFonts w:hint="eastAsia"/>
          <w:szCs w:val="21"/>
        </w:rPr>
        <w:t>二和</w:t>
      </w:r>
      <w:r>
        <w:rPr>
          <w:szCs w:val="21"/>
        </w:rPr>
        <w:t>核算方法</w:t>
      </w:r>
      <w:r>
        <w:rPr>
          <w:rFonts w:hint="eastAsia"/>
          <w:szCs w:val="21"/>
        </w:rPr>
        <w:t>三进行核算。</w:t>
      </w:r>
    </w:p>
    <w:p>
      <w:pPr>
        <w:spacing w:line="360" w:lineRule="exact"/>
        <w:ind w:firstLine="420" w:firstLineChars="200"/>
        <w:textAlignment w:val="center"/>
        <w:rPr>
          <w:rFonts w:ascii="楷体_GB2312" w:eastAsia="楷体_GB2312"/>
          <w:szCs w:val="21"/>
        </w:rPr>
      </w:pPr>
      <w:r>
        <w:rPr>
          <w:rFonts w:hint="eastAsia" w:ascii="楷体_GB2312" w:eastAsia="楷体_GB2312"/>
          <w:szCs w:val="21"/>
        </w:rPr>
        <w:t>（二）工业</w:t>
      </w:r>
    </w:p>
    <w:p>
      <w:pPr>
        <w:spacing w:line="360" w:lineRule="exact"/>
        <w:ind w:firstLine="420" w:firstLineChars="200"/>
        <w:textAlignment w:val="center"/>
        <w:rPr>
          <w:rFonts w:ascii="宋体" w:hAnsi="宋体"/>
          <w:szCs w:val="21"/>
        </w:rPr>
      </w:pPr>
      <w:r>
        <w:rPr>
          <w:rFonts w:ascii="宋体" w:hAnsi="宋体"/>
          <w:szCs w:val="21"/>
        </w:rPr>
        <w:t>工业不使用以上三种核算方法</w:t>
      </w:r>
      <w:r>
        <w:rPr>
          <w:szCs w:val="21"/>
        </w:rPr>
        <w:t>，</w:t>
      </w:r>
      <w:r>
        <w:rPr>
          <w:rFonts w:ascii="宋体" w:hAnsi="宋体"/>
          <w:szCs w:val="21"/>
        </w:rPr>
        <w:t>使用本期规模以上工业能源消费量及上年规模以上工业占工业能源消费量比重进行核算。因此</w:t>
      </w:r>
      <w:r>
        <w:rPr>
          <w:rFonts w:hint="eastAsia"/>
          <w:szCs w:val="21"/>
        </w:rPr>
        <w:t>，</w:t>
      </w:r>
      <w:r>
        <w:rPr>
          <w:rFonts w:ascii="宋体" w:hAnsi="宋体"/>
          <w:szCs w:val="21"/>
        </w:rPr>
        <w:t>三种核算方法中的工业数据均使用本方法数据结果</w:t>
      </w:r>
      <w:r>
        <w:rPr>
          <w:rFonts w:hint="eastAsia" w:ascii="宋体" w:hAnsi="宋体"/>
          <w:szCs w:val="21"/>
        </w:rPr>
        <w:t>。</w:t>
      </w:r>
    </w:p>
    <w:p>
      <w:pPr>
        <w:spacing w:line="360" w:lineRule="exact"/>
        <w:ind w:firstLine="424" w:firstLineChars="202"/>
        <w:textAlignment w:val="center"/>
        <w:rPr>
          <w:rFonts w:ascii="宋体" w:hAnsi="宋体"/>
          <w:szCs w:val="21"/>
        </w:rPr>
      </w:pPr>
      <w:r>
        <w:rPr>
          <w:rFonts w:ascii="宋体" w:hAnsi="宋体"/>
          <w:szCs w:val="21"/>
        </w:rPr>
        <w:t>1.</w:t>
      </w:r>
      <w:r>
        <w:rPr>
          <w:rFonts w:hint="eastAsia" w:ascii="宋体" w:hAnsi="宋体"/>
          <w:szCs w:val="21"/>
        </w:rPr>
        <w:t>规模</w:t>
      </w:r>
      <w:r>
        <w:rPr>
          <w:rFonts w:ascii="宋体" w:hAnsi="宋体"/>
          <w:szCs w:val="21"/>
        </w:rPr>
        <w:t>以上工业企业数据整理</w:t>
      </w:r>
    </w:p>
    <w:p>
      <w:pPr>
        <w:spacing w:line="360" w:lineRule="exact"/>
        <w:ind w:firstLine="424" w:firstLineChars="202"/>
        <w:textAlignment w:val="center"/>
        <w:rPr>
          <w:rFonts w:ascii="宋体" w:hAnsi="宋体"/>
          <w:szCs w:val="21"/>
        </w:rPr>
      </w:pPr>
      <w:r>
        <w:rPr>
          <w:rFonts w:hint="eastAsia"/>
          <w:szCs w:val="21"/>
        </w:rPr>
        <w:t>（</w:t>
      </w:r>
      <w:r>
        <w:rPr>
          <w:rFonts w:ascii="宋体" w:hAnsi="宋体"/>
          <w:szCs w:val="21"/>
        </w:rPr>
        <w:t>1</w:t>
      </w:r>
      <w:r>
        <w:rPr>
          <w:rFonts w:hint="eastAsia"/>
          <w:szCs w:val="21"/>
        </w:rPr>
        <w:t>）</w:t>
      </w:r>
      <w:r>
        <w:rPr>
          <w:rFonts w:ascii="宋体" w:hAnsi="宋体"/>
          <w:szCs w:val="21"/>
        </w:rPr>
        <w:t>资料来源于205-1/-2表</w:t>
      </w:r>
      <w:r>
        <w:rPr>
          <w:rFonts w:hint="eastAsia" w:ascii="宋体" w:hAnsi="宋体"/>
          <w:szCs w:val="21"/>
        </w:rPr>
        <w:t>。</w:t>
      </w:r>
    </w:p>
    <w:p>
      <w:pPr>
        <w:spacing w:line="360" w:lineRule="exact"/>
        <w:ind w:firstLine="424" w:firstLineChars="202"/>
        <w:textAlignment w:val="center"/>
        <w:rPr>
          <w:rFonts w:ascii="宋体" w:hAnsi="宋体"/>
          <w:szCs w:val="21"/>
        </w:rPr>
      </w:pPr>
      <w:r>
        <w:rPr>
          <w:rFonts w:hint="eastAsia"/>
          <w:szCs w:val="21"/>
        </w:rPr>
        <w:t>（</w:t>
      </w:r>
      <w:r>
        <w:rPr>
          <w:rFonts w:ascii="宋体" w:hAnsi="宋体"/>
          <w:szCs w:val="21"/>
        </w:rPr>
        <w:t>2</w:t>
      </w:r>
      <w:r>
        <w:rPr>
          <w:rFonts w:hint="eastAsia"/>
          <w:szCs w:val="21"/>
        </w:rPr>
        <w:t>）</w:t>
      </w:r>
      <w:r>
        <w:rPr>
          <w:rFonts w:ascii="宋体" w:hAnsi="宋体"/>
          <w:szCs w:val="21"/>
        </w:rPr>
        <w:t>企业数据整理的目的是将企业电力</w:t>
      </w:r>
      <w:r>
        <w:rPr>
          <w:rFonts w:hint="eastAsia" w:ascii="宋体" w:hAnsi="宋体"/>
          <w:szCs w:val="21"/>
        </w:rPr>
        <w:t>当量</w:t>
      </w:r>
      <w:r>
        <w:rPr>
          <w:rFonts w:ascii="宋体" w:hAnsi="宋体"/>
          <w:szCs w:val="21"/>
        </w:rPr>
        <w:t>折标系数调整为</w:t>
      </w:r>
      <w:r>
        <w:rPr>
          <w:rFonts w:hint="eastAsia" w:ascii="宋体" w:hAnsi="宋体"/>
          <w:szCs w:val="21"/>
        </w:rPr>
        <w:t>等价折标系数</w:t>
      </w:r>
      <w:r>
        <w:rPr>
          <w:szCs w:val="21"/>
        </w:rPr>
        <w:t>（</w:t>
      </w:r>
      <w:r>
        <w:rPr>
          <w:rFonts w:ascii="宋体" w:hAnsi="宋体"/>
          <w:szCs w:val="21"/>
        </w:rPr>
        <w:t>发电煤耗</w:t>
      </w:r>
      <w:r>
        <w:rPr>
          <w:szCs w:val="21"/>
        </w:rPr>
        <w:t>）</w:t>
      </w:r>
      <w:r>
        <w:rPr>
          <w:rFonts w:ascii="宋体" w:hAnsi="宋体"/>
          <w:szCs w:val="21"/>
        </w:rPr>
        <w:t>。</w:t>
      </w:r>
    </w:p>
    <w:p>
      <w:pPr>
        <w:spacing w:line="360" w:lineRule="exact"/>
        <w:ind w:firstLine="424" w:firstLineChars="202"/>
        <w:textAlignment w:val="center"/>
        <w:rPr>
          <w:rFonts w:ascii="宋体" w:hAnsi="宋体"/>
          <w:szCs w:val="21"/>
        </w:rPr>
      </w:pPr>
      <w:r>
        <w:rPr>
          <w:rFonts w:hint="eastAsia"/>
          <w:szCs w:val="21"/>
        </w:rPr>
        <w:t>（</w:t>
      </w:r>
      <w:r>
        <w:rPr>
          <w:rFonts w:ascii="宋体" w:hAnsi="宋体"/>
          <w:szCs w:val="21"/>
        </w:rPr>
        <w:t>3</w:t>
      </w:r>
      <w:r>
        <w:rPr>
          <w:rFonts w:hint="eastAsia"/>
          <w:szCs w:val="21"/>
        </w:rPr>
        <w:t>）</w:t>
      </w:r>
      <w:r>
        <w:rPr>
          <w:rFonts w:ascii="宋体" w:hAnsi="宋体"/>
          <w:szCs w:val="21"/>
        </w:rPr>
        <w:t>企业数据整理的原则</w:t>
      </w:r>
      <w:r>
        <w:rPr>
          <w:szCs w:val="21"/>
        </w:rPr>
        <w:t>：</w:t>
      </w:r>
    </w:p>
    <w:p>
      <w:pPr>
        <w:spacing w:line="360" w:lineRule="exact"/>
        <w:ind w:firstLine="424" w:firstLineChars="202"/>
        <w:textAlignment w:val="center"/>
        <w:rPr>
          <w:rFonts w:ascii="宋体" w:hAnsi="宋体"/>
          <w:szCs w:val="21"/>
        </w:rPr>
      </w:pPr>
      <w:r>
        <w:rPr>
          <w:rFonts w:hint="eastAsia" w:ascii="宋体" w:hAnsi="宋体"/>
          <w:szCs w:val="21"/>
        </w:rPr>
        <w:t>①</w:t>
      </w:r>
      <w:r>
        <w:rPr>
          <w:rFonts w:ascii="宋体" w:hAnsi="宋体"/>
          <w:szCs w:val="21"/>
        </w:rPr>
        <w:t>用电企业电力等价折标系数采用本地区平均等价折标系数</w:t>
      </w:r>
      <w:r>
        <w:rPr>
          <w:szCs w:val="21"/>
        </w:rPr>
        <w:t>（</w:t>
      </w:r>
      <w:r>
        <w:rPr>
          <w:rFonts w:ascii="宋体" w:hAnsi="宋体"/>
          <w:szCs w:val="21"/>
        </w:rPr>
        <w:t>按205-2表计算</w:t>
      </w:r>
      <w:r>
        <w:rPr>
          <w:szCs w:val="21"/>
        </w:rPr>
        <w:t>）；</w:t>
      </w:r>
    </w:p>
    <w:p>
      <w:pPr>
        <w:spacing w:line="360" w:lineRule="exact"/>
        <w:ind w:firstLine="424" w:firstLineChars="202"/>
        <w:textAlignment w:val="center"/>
        <w:rPr>
          <w:rFonts w:ascii="宋体" w:hAnsi="宋体"/>
          <w:szCs w:val="21"/>
        </w:rPr>
      </w:pPr>
      <w:r>
        <w:rPr>
          <w:rFonts w:hint="eastAsia" w:ascii="宋体" w:hAnsi="宋体"/>
          <w:szCs w:val="21"/>
        </w:rPr>
        <w:t>②</w:t>
      </w:r>
      <w:r>
        <w:rPr>
          <w:rFonts w:ascii="宋体" w:hAnsi="宋体"/>
          <w:szCs w:val="21"/>
        </w:rPr>
        <w:t>火力发电企业和有自备电厂且发电量大于本企业用电量的企业</w:t>
      </w:r>
      <w:r>
        <w:rPr>
          <w:szCs w:val="21"/>
        </w:rPr>
        <w:t>，</w:t>
      </w:r>
      <w:r>
        <w:rPr>
          <w:rFonts w:ascii="宋体" w:hAnsi="宋体"/>
          <w:szCs w:val="21"/>
        </w:rPr>
        <w:t>采用本企业等价折标系数</w:t>
      </w:r>
      <w:r>
        <w:rPr>
          <w:szCs w:val="21"/>
        </w:rPr>
        <w:t>；</w:t>
      </w:r>
    </w:p>
    <w:p>
      <w:pPr>
        <w:spacing w:line="360" w:lineRule="exact"/>
        <w:ind w:firstLine="424" w:firstLineChars="202"/>
        <w:textAlignment w:val="center"/>
        <w:rPr>
          <w:rFonts w:ascii="宋体" w:hAnsi="宋体"/>
          <w:szCs w:val="21"/>
        </w:rPr>
      </w:pPr>
      <w:r>
        <w:rPr>
          <w:rFonts w:hint="eastAsia" w:ascii="宋体" w:hAnsi="宋体"/>
          <w:szCs w:val="21"/>
        </w:rPr>
        <w:t>③</w:t>
      </w:r>
      <w:r>
        <w:rPr>
          <w:rFonts w:ascii="宋体" w:hAnsi="宋体"/>
          <w:szCs w:val="21"/>
        </w:rPr>
        <w:t>有自备电厂</w:t>
      </w:r>
      <w:r>
        <w:rPr>
          <w:szCs w:val="21"/>
        </w:rPr>
        <w:t>（</w:t>
      </w:r>
      <w:r>
        <w:rPr>
          <w:rFonts w:ascii="宋体" w:hAnsi="宋体"/>
          <w:szCs w:val="21"/>
        </w:rPr>
        <w:t>或发电机组</w:t>
      </w:r>
      <w:r>
        <w:rPr>
          <w:szCs w:val="21"/>
        </w:rPr>
        <w:t>）</w:t>
      </w:r>
      <w:r>
        <w:rPr>
          <w:rFonts w:ascii="宋体" w:hAnsi="宋体"/>
          <w:szCs w:val="21"/>
        </w:rPr>
        <w:t>且本企业用电量大于发电量的企业</w:t>
      </w:r>
      <w:r>
        <w:rPr>
          <w:szCs w:val="21"/>
        </w:rPr>
        <w:t>，</w:t>
      </w:r>
      <w:r>
        <w:rPr>
          <w:rFonts w:ascii="宋体" w:hAnsi="宋体"/>
          <w:szCs w:val="21"/>
        </w:rPr>
        <w:t>购入的电量</w:t>
      </w:r>
      <w:r>
        <w:rPr>
          <w:szCs w:val="21"/>
        </w:rPr>
        <w:t>（</w:t>
      </w:r>
      <w:r>
        <w:rPr>
          <w:rFonts w:ascii="宋体" w:hAnsi="宋体"/>
          <w:szCs w:val="21"/>
        </w:rPr>
        <w:t>企业电力消费合计</w:t>
      </w:r>
      <w:r>
        <w:rPr>
          <w:szCs w:val="21"/>
        </w:rPr>
        <w:t>－</w:t>
      </w:r>
      <w:r>
        <w:rPr>
          <w:rFonts w:ascii="宋体" w:hAnsi="宋体"/>
          <w:szCs w:val="21"/>
        </w:rPr>
        <w:t>电力产出</w:t>
      </w:r>
      <w:r>
        <w:rPr>
          <w:szCs w:val="21"/>
        </w:rPr>
        <w:t>）</w:t>
      </w:r>
      <w:r>
        <w:rPr>
          <w:rFonts w:ascii="宋体" w:hAnsi="宋体"/>
          <w:szCs w:val="21"/>
        </w:rPr>
        <w:t>采用本地区平均等价折标系数</w:t>
      </w:r>
      <w:r>
        <w:rPr>
          <w:szCs w:val="21"/>
        </w:rPr>
        <w:t>，</w:t>
      </w:r>
      <w:r>
        <w:rPr>
          <w:rFonts w:ascii="宋体" w:hAnsi="宋体"/>
          <w:szCs w:val="21"/>
        </w:rPr>
        <w:t>本企业生产的电量采用本企业等价折标系数。</w:t>
      </w:r>
    </w:p>
    <w:p>
      <w:pPr>
        <w:spacing w:line="360" w:lineRule="exact"/>
        <w:ind w:firstLine="424" w:firstLineChars="202"/>
        <w:textAlignment w:val="cente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规模</w:t>
      </w:r>
      <w:r>
        <w:rPr>
          <w:rFonts w:ascii="宋体" w:hAnsi="宋体"/>
          <w:szCs w:val="21"/>
        </w:rPr>
        <w:t>以上工业能源消费量计算</w:t>
      </w:r>
    </w:p>
    <w:p>
      <w:pPr>
        <w:spacing w:line="360" w:lineRule="exact"/>
        <w:ind w:firstLine="424" w:firstLineChars="202"/>
        <w:textAlignment w:val="center"/>
        <w:rPr>
          <w:rFonts w:ascii="宋体" w:hAnsi="宋体"/>
          <w:szCs w:val="21"/>
        </w:rPr>
      </w:pPr>
      <w:r>
        <w:rPr>
          <w:rFonts w:hint="eastAsia"/>
          <w:szCs w:val="21"/>
        </w:rPr>
        <w:t>（</w:t>
      </w:r>
      <w:r>
        <w:rPr>
          <w:rFonts w:ascii="宋体" w:hAnsi="宋体"/>
          <w:szCs w:val="21"/>
        </w:rPr>
        <w:t>1</w:t>
      </w:r>
      <w:r>
        <w:rPr>
          <w:rFonts w:hint="eastAsia"/>
          <w:szCs w:val="21"/>
        </w:rPr>
        <w:t>）</w:t>
      </w:r>
      <w:r>
        <w:rPr>
          <w:rFonts w:ascii="宋体" w:hAnsi="宋体"/>
          <w:szCs w:val="21"/>
        </w:rPr>
        <w:t>电力等价折标系数</w:t>
      </w:r>
    </w:p>
    <w:p>
      <w:pPr>
        <w:spacing w:line="360" w:lineRule="exact"/>
        <w:ind w:left="1890" w:leftChars="200" w:hanging="1470" w:hangingChars="700"/>
        <w:textAlignment w:val="center"/>
        <w:rPr>
          <w:rFonts w:ascii="宋体" w:hAnsi="宋体"/>
          <w:szCs w:val="21"/>
        </w:rPr>
      </w:pPr>
      <w:r>
        <w:rPr>
          <w:rFonts w:ascii="宋体" w:hAnsi="宋体"/>
          <w:szCs w:val="21"/>
        </w:rPr>
        <w:t>电力等价折标系数</w:t>
      </w:r>
      <w:r>
        <w:rPr>
          <w:szCs w:val="21"/>
        </w:rPr>
        <w:t>＝</w:t>
      </w:r>
      <w:r>
        <w:rPr>
          <w:rFonts w:ascii="宋体" w:hAnsi="宋体"/>
          <w:szCs w:val="21"/>
        </w:rPr>
        <w:t>火力发电投入的能源合计</w:t>
      </w:r>
      <w:r>
        <w:rPr>
          <w:szCs w:val="21"/>
        </w:rPr>
        <w:t>（</w:t>
      </w:r>
      <w:r>
        <w:rPr>
          <w:rFonts w:ascii="宋体" w:hAnsi="宋体"/>
          <w:szCs w:val="21"/>
        </w:rPr>
        <w:t>205-2表第40行第3栏</w:t>
      </w:r>
      <w:r>
        <w:rPr>
          <w:szCs w:val="21"/>
        </w:rPr>
        <w:t>）</w:t>
      </w:r>
      <w:r>
        <w:rPr>
          <w:rFonts w:ascii="宋体" w:hAnsi="宋体"/>
          <w:szCs w:val="21"/>
        </w:rPr>
        <w:t>÷电力产出量</w:t>
      </w:r>
      <w:r>
        <w:rPr>
          <w:szCs w:val="21"/>
        </w:rPr>
        <w:t>（</w:t>
      </w:r>
      <w:r>
        <w:rPr>
          <w:rFonts w:ascii="宋体" w:hAnsi="宋体"/>
          <w:szCs w:val="21"/>
        </w:rPr>
        <w:t>205-2表</w:t>
      </w:r>
    </w:p>
    <w:p>
      <w:pPr>
        <w:spacing w:line="360" w:lineRule="exact"/>
        <w:ind w:left="420"/>
        <w:textAlignment w:val="center"/>
        <w:rPr>
          <w:rFonts w:ascii="宋体" w:hAnsi="宋体"/>
          <w:szCs w:val="21"/>
        </w:rPr>
      </w:pPr>
      <w:r>
        <w:rPr>
          <w:rFonts w:ascii="宋体" w:hAnsi="宋体"/>
          <w:szCs w:val="21"/>
        </w:rPr>
        <w:t xml:space="preserve">                  第33行第11栏</w:t>
      </w:r>
      <w:r>
        <w:rPr>
          <w:szCs w:val="21"/>
        </w:rPr>
        <w:t>）</w:t>
      </w:r>
    </w:p>
    <w:p>
      <w:pPr>
        <w:spacing w:line="360" w:lineRule="exact"/>
        <w:ind w:firstLine="424" w:firstLineChars="202"/>
        <w:textAlignment w:val="center"/>
        <w:rPr>
          <w:rFonts w:ascii="宋体" w:hAnsi="宋体"/>
          <w:szCs w:val="21"/>
        </w:rPr>
      </w:pPr>
      <w:r>
        <w:rPr>
          <w:rFonts w:hint="eastAsia"/>
          <w:szCs w:val="21"/>
        </w:rPr>
        <w:t>（</w:t>
      </w:r>
      <w:r>
        <w:rPr>
          <w:rFonts w:ascii="宋体" w:hAnsi="宋体"/>
          <w:szCs w:val="21"/>
        </w:rPr>
        <w:t>2</w:t>
      </w:r>
      <w:r>
        <w:rPr>
          <w:rFonts w:hint="eastAsia"/>
          <w:szCs w:val="21"/>
        </w:rPr>
        <w:t>）</w:t>
      </w:r>
      <w:r>
        <w:rPr>
          <w:rFonts w:hint="eastAsia" w:ascii="宋体" w:hAnsi="宋体"/>
          <w:szCs w:val="21"/>
        </w:rPr>
        <w:t>企业</w:t>
      </w:r>
      <w:r>
        <w:rPr>
          <w:rFonts w:ascii="宋体" w:hAnsi="宋体"/>
          <w:szCs w:val="21"/>
        </w:rPr>
        <w:t>能源消费量</w:t>
      </w:r>
      <w:r>
        <w:rPr>
          <w:rFonts w:hint="eastAsia"/>
          <w:szCs w:val="21"/>
        </w:rPr>
        <w:t>（</w:t>
      </w:r>
      <w:r>
        <w:rPr>
          <w:rFonts w:hint="eastAsia" w:ascii="宋体" w:hAnsi="宋体"/>
          <w:szCs w:val="21"/>
        </w:rPr>
        <w:t>等价值</w:t>
      </w:r>
      <w:r>
        <w:rPr>
          <w:rFonts w:hint="eastAsia"/>
          <w:szCs w:val="21"/>
        </w:rPr>
        <w:t>）</w:t>
      </w:r>
    </w:p>
    <w:p>
      <w:pPr>
        <w:spacing w:line="360" w:lineRule="exact"/>
        <w:ind w:left="3108" w:leftChars="200" w:hanging="2688" w:hangingChars="1280"/>
        <w:textAlignment w:val="center"/>
        <w:rPr>
          <w:rFonts w:ascii="宋体" w:hAnsi="宋体"/>
          <w:szCs w:val="21"/>
        </w:rPr>
      </w:pPr>
      <w:r>
        <w:rPr>
          <w:rFonts w:hint="eastAsia" w:ascii="宋体" w:hAnsi="宋体"/>
          <w:szCs w:val="21"/>
        </w:rPr>
        <w:t>企业能源消费量</w:t>
      </w:r>
      <w:r>
        <w:rPr>
          <w:rFonts w:hint="eastAsia"/>
          <w:szCs w:val="21"/>
        </w:rPr>
        <w:t>（</w:t>
      </w:r>
      <w:r>
        <w:rPr>
          <w:rFonts w:hint="eastAsia" w:ascii="宋体" w:hAnsi="宋体"/>
          <w:szCs w:val="21"/>
        </w:rPr>
        <w:t>等价值</w:t>
      </w:r>
      <w:r>
        <w:rPr>
          <w:rFonts w:hint="eastAsia"/>
          <w:szCs w:val="21"/>
        </w:rPr>
        <w:t>）</w:t>
      </w:r>
      <w:r>
        <w:rPr>
          <w:szCs w:val="21"/>
        </w:rPr>
        <w:t>＝</w:t>
      </w:r>
      <w:r>
        <w:rPr>
          <w:rFonts w:ascii="宋体" w:hAnsi="宋体"/>
          <w:szCs w:val="21"/>
        </w:rPr>
        <w:t>综合能源消费量</w:t>
      </w:r>
      <w:r>
        <w:rPr>
          <w:szCs w:val="21"/>
        </w:rPr>
        <w:t>（</w:t>
      </w:r>
      <w:r>
        <w:rPr>
          <w:rFonts w:ascii="宋体" w:hAnsi="宋体"/>
          <w:szCs w:val="21"/>
        </w:rPr>
        <w:t>205-1表代码48</w:t>
      </w:r>
      <w:r>
        <w:rPr>
          <w:szCs w:val="21"/>
        </w:rPr>
        <w:t>）＋</w:t>
      </w:r>
      <w:r>
        <w:rPr>
          <w:rFonts w:ascii="宋体" w:hAnsi="宋体"/>
          <w:szCs w:val="21"/>
        </w:rPr>
        <w:t>工业生产电力消费×</w:t>
      </w:r>
      <w:r>
        <w:rPr>
          <w:szCs w:val="21"/>
        </w:rPr>
        <w:t>（</w:t>
      </w:r>
      <w:r>
        <w:rPr>
          <w:rFonts w:ascii="宋体" w:hAnsi="宋体"/>
          <w:szCs w:val="21"/>
        </w:rPr>
        <w:t>电力等价折标系数</w:t>
      </w:r>
      <w:r>
        <w:rPr>
          <w:szCs w:val="21"/>
        </w:rPr>
        <w:t>－</w:t>
      </w:r>
      <w:r>
        <w:rPr>
          <w:rFonts w:ascii="宋体" w:hAnsi="宋体"/>
          <w:szCs w:val="21"/>
        </w:rPr>
        <w:t>1.229</w:t>
      </w:r>
      <w:r>
        <w:rPr>
          <w:szCs w:val="21"/>
        </w:rPr>
        <w:t>）－</w:t>
      </w:r>
      <w:r>
        <w:rPr>
          <w:rFonts w:ascii="宋体" w:hAnsi="宋体"/>
          <w:szCs w:val="21"/>
        </w:rPr>
        <w:t>电力产出量×</w:t>
      </w:r>
      <w:r>
        <w:rPr>
          <w:szCs w:val="21"/>
        </w:rPr>
        <w:t>（</w:t>
      </w:r>
      <w:r>
        <w:rPr>
          <w:rFonts w:ascii="宋体" w:hAnsi="宋体"/>
          <w:szCs w:val="21"/>
        </w:rPr>
        <w:t>电力等价折标系数</w:t>
      </w:r>
      <w:r>
        <w:rPr>
          <w:szCs w:val="21"/>
        </w:rPr>
        <w:t>－</w:t>
      </w:r>
      <w:r>
        <w:rPr>
          <w:rFonts w:ascii="宋体" w:hAnsi="宋体"/>
          <w:szCs w:val="21"/>
        </w:rPr>
        <w:t>1.229</w:t>
      </w:r>
      <w:r>
        <w:rPr>
          <w:szCs w:val="21"/>
        </w:rPr>
        <w:t>）</w:t>
      </w:r>
    </w:p>
    <w:p>
      <w:pPr>
        <w:pStyle w:val="16"/>
        <w:spacing w:line="360" w:lineRule="exact"/>
        <w:ind w:firstLine="424" w:firstLineChars="202"/>
        <w:textAlignment w:val="center"/>
        <w:rPr>
          <w:rFonts w:hAnsi="Times New Roman"/>
          <w:szCs w:val="21"/>
        </w:rPr>
      </w:pPr>
      <w:r>
        <w:rPr>
          <w:szCs w:val="21"/>
        </w:rPr>
        <w:t>有自备电厂</w:t>
      </w:r>
      <w:r>
        <w:rPr>
          <w:rFonts w:ascii="Times New Roman" w:hAnsi="Times New Roman"/>
          <w:szCs w:val="21"/>
        </w:rPr>
        <w:t>（</w:t>
      </w:r>
      <w:r>
        <w:rPr>
          <w:szCs w:val="21"/>
        </w:rPr>
        <w:t>或发电机组</w:t>
      </w:r>
      <w:r>
        <w:rPr>
          <w:rFonts w:ascii="Times New Roman" w:hAnsi="Times New Roman"/>
          <w:szCs w:val="21"/>
        </w:rPr>
        <w:t>）</w:t>
      </w:r>
      <w:r>
        <w:rPr>
          <w:szCs w:val="21"/>
        </w:rPr>
        <w:t>的企业按照上述“企业数据整理的原则”</w:t>
      </w:r>
      <w:r>
        <w:rPr>
          <w:rFonts w:hAnsi="Times New Roman"/>
          <w:szCs w:val="21"/>
        </w:rPr>
        <w:t>分别采用不同系数进行计算。</w:t>
      </w:r>
    </w:p>
    <w:p>
      <w:pPr>
        <w:pStyle w:val="16"/>
        <w:spacing w:line="360" w:lineRule="exact"/>
        <w:ind w:firstLine="424" w:firstLineChars="202"/>
        <w:textAlignment w:val="center"/>
        <w:rPr>
          <w:szCs w:val="21"/>
        </w:rPr>
      </w:pPr>
      <w:r>
        <w:rPr>
          <w:rFonts w:hint="eastAsia" w:hAnsi="Times New Roman"/>
          <w:szCs w:val="21"/>
        </w:rPr>
        <w:t>3</w:t>
      </w:r>
      <w:r>
        <w:rPr>
          <w:rFonts w:hAnsi="Times New Roman"/>
          <w:szCs w:val="21"/>
        </w:rPr>
        <w:t>.工业</w:t>
      </w:r>
      <w:r>
        <w:rPr>
          <w:rFonts w:hint="eastAsia" w:hAnsi="Times New Roman"/>
          <w:szCs w:val="21"/>
        </w:rPr>
        <w:t>能源消费量核算</w:t>
      </w:r>
      <w:r>
        <w:rPr>
          <w:szCs w:val="21"/>
        </w:rPr>
        <w:t>方法：使用</w:t>
      </w:r>
      <w:r>
        <w:rPr>
          <w:rFonts w:hint="eastAsia"/>
          <w:szCs w:val="21"/>
        </w:rPr>
        <w:t>本期</w:t>
      </w:r>
      <w:r>
        <w:rPr>
          <w:szCs w:val="21"/>
        </w:rPr>
        <w:t>规模</w:t>
      </w:r>
      <w:r>
        <w:rPr>
          <w:rFonts w:hint="eastAsia"/>
          <w:szCs w:val="21"/>
        </w:rPr>
        <w:t>以上</w:t>
      </w:r>
      <w:r>
        <w:rPr>
          <w:szCs w:val="21"/>
        </w:rPr>
        <w:t>工业能源消费量及</w:t>
      </w:r>
      <w:r>
        <w:rPr>
          <w:rFonts w:hint="eastAsia"/>
          <w:szCs w:val="21"/>
        </w:rPr>
        <w:t>上年规模以上工业占工业能源消费量比重</w:t>
      </w:r>
      <w:r>
        <w:rPr>
          <w:szCs w:val="21"/>
        </w:rPr>
        <w:t>进行</w:t>
      </w:r>
      <w:r>
        <w:rPr>
          <w:rFonts w:hint="eastAsia"/>
          <w:szCs w:val="21"/>
        </w:rPr>
        <w:t>核</w:t>
      </w:r>
      <w:r>
        <w:rPr>
          <w:szCs w:val="21"/>
        </w:rPr>
        <w:t>算。</w:t>
      </w:r>
    </w:p>
    <w:p>
      <w:pPr>
        <w:pStyle w:val="16"/>
        <w:spacing w:line="360" w:lineRule="exact"/>
        <w:ind w:left="2415" w:leftChars="200" w:hanging="1995" w:hangingChars="950"/>
        <w:textAlignment w:val="center"/>
        <w:rPr>
          <w:szCs w:val="21"/>
        </w:rPr>
      </w:pPr>
      <w:r>
        <w:rPr>
          <w:szCs w:val="21"/>
        </w:rPr>
        <w:t>本期</w:t>
      </w:r>
      <w:r>
        <w:rPr>
          <w:rFonts w:hint="eastAsia"/>
          <w:szCs w:val="21"/>
        </w:rPr>
        <w:t>工业能源消费量</w:t>
      </w:r>
      <w:r>
        <w:rPr>
          <w:szCs w:val="21"/>
        </w:rPr>
        <w:t>=本期规模以上工业能源消费量÷上年规模以上工业占工业能源消费量比重</w:t>
      </w:r>
    </w:p>
    <w:p>
      <w:pPr>
        <w:pStyle w:val="16"/>
        <w:spacing w:line="360" w:lineRule="exact"/>
        <w:ind w:left="2415" w:leftChars="1100" w:hanging="105" w:hangingChars="50"/>
        <w:textAlignment w:val="center"/>
        <w:rPr>
          <w:szCs w:val="21"/>
        </w:rPr>
      </w:pPr>
      <w:r>
        <w:rPr>
          <w:rFonts w:hint="eastAsia"/>
          <w:szCs w:val="21"/>
        </w:rPr>
        <w:t>=本期规模以上工业能源消费量÷（上年规模以上工业能源消费量/上年工业能源消费量）</w:t>
      </w:r>
    </w:p>
    <w:p>
      <w:pPr>
        <w:spacing w:line="360" w:lineRule="atLeast"/>
        <w:ind w:right="-40" w:firstLine="430" w:firstLineChars="205"/>
        <w:textAlignment w:val="center"/>
      </w:pPr>
      <w:r>
        <w:rPr>
          <w:rFonts w:ascii="宋体" w:hAnsi="宋体"/>
          <w:szCs w:val="21"/>
        </w:rPr>
        <w:t>其中</w:t>
      </w:r>
      <w:r>
        <w:rPr>
          <w:szCs w:val="21"/>
        </w:rPr>
        <w:t>：</w:t>
      </w:r>
    </w:p>
    <w:p>
      <w:pPr>
        <w:spacing w:line="360" w:lineRule="atLeast"/>
        <w:ind w:right="-40" w:firstLine="430" w:firstLineChars="205"/>
        <w:textAlignment w:val="center"/>
        <w:rPr>
          <w:szCs w:val="21"/>
        </w:rPr>
      </w:pPr>
      <w:r>
        <w:rPr>
          <w:szCs w:val="21"/>
        </w:rPr>
        <w:t>（</w:t>
      </w:r>
      <w:r>
        <w:rPr>
          <w:rFonts w:ascii="宋体" w:hAnsi="宋体"/>
          <w:szCs w:val="21"/>
        </w:rPr>
        <w:t>1</w:t>
      </w:r>
      <w:r>
        <w:rPr>
          <w:szCs w:val="21"/>
        </w:rPr>
        <w:t>）</w:t>
      </w:r>
      <w:r>
        <w:rPr>
          <w:rFonts w:hint="eastAsia"/>
          <w:szCs w:val="21"/>
        </w:rPr>
        <w:t>“</w:t>
      </w:r>
      <w:r>
        <w:rPr>
          <w:rFonts w:ascii="宋体" w:hAnsi="宋体"/>
          <w:szCs w:val="21"/>
        </w:rPr>
        <w:t>本期规模以上工业能源消费量</w:t>
      </w:r>
      <w:r>
        <w:rPr>
          <w:rFonts w:hint="eastAsia"/>
          <w:szCs w:val="21"/>
        </w:rPr>
        <w:t>”</w:t>
      </w:r>
      <w:r>
        <w:rPr>
          <w:rFonts w:ascii="宋体" w:hAnsi="宋体"/>
          <w:szCs w:val="21"/>
        </w:rPr>
        <w:t>、</w:t>
      </w:r>
      <w:r>
        <w:rPr>
          <w:rFonts w:hint="eastAsia" w:ascii="宋体" w:hAnsi="宋体"/>
          <w:szCs w:val="21"/>
        </w:rPr>
        <w:t>“</w:t>
      </w:r>
      <w:r>
        <w:rPr>
          <w:rFonts w:ascii="宋体" w:hAnsi="宋体"/>
          <w:szCs w:val="21"/>
        </w:rPr>
        <w:t>上年规模以上工业能源消费量</w:t>
      </w:r>
      <w:r>
        <w:rPr>
          <w:rFonts w:hint="eastAsia" w:ascii="宋体" w:hAnsi="宋体"/>
          <w:szCs w:val="21"/>
        </w:rPr>
        <w:t>”</w:t>
      </w:r>
      <w:r>
        <w:rPr>
          <w:rFonts w:ascii="宋体" w:hAnsi="宋体"/>
          <w:szCs w:val="21"/>
        </w:rPr>
        <w:t>是</w:t>
      </w:r>
      <w:r>
        <w:rPr>
          <w:rFonts w:hint="eastAsia" w:ascii="宋体" w:hAnsi="宋体"/>
          <w:szCs w:val="21"/>
        </w:rPr>
        <w:t>指</w:t>
      </w:r>
      <w:r>
        <w:rPr>
          <w:rFonts w:ascii="宋体" w:hAnsi="宋体"/>
          <w:szCs w:val="21"/>
        </w:rPr>
        <w:t>205-1/-2表本期和上年数据</w:t>
      </w:r>
      <w:r>
        <w:rPr>
          <w:rFonts w:hint="eastAsia" w:ascii="宋体" w:hAnsi="宋体"/>
          <w:szCs w:val="21"/>
        </w:rPr>
        <w:t>。</w:t>
      </w:r>
    </w:p>
    <w:p>
      <w:pPr>
        <w:pStyle w:val="16"/>
        <w:spacing w:line="360" w:lineRule="exact"/>
        <w:ind w:firstLine="424" w:firstLineChars="202"/>
        <w:textAlignment w:val="center"/>
        <w:rPr>
          <w:spacing w:val="8"/>
          <w:szCs w:val="21"/>
        </w:rPr>
      </w:pPr>
      <w:r>
        <w:rPr>
          <w:szCs w:val="21"/>
        </w:rPr>
        <w:t>（2）</w:t>
      </w:r>
      <w:r>
        <w:rPr>
          <w:rFonts w:hint="eastAsia"/>
          <w:szCs w:val="21"/>
        </w:rPr>
        <w:t>“</w:t>
      </w:r>
      <w:r>
        <w:rPr>
          <w:szCs w:val="21"/>
        </w:rPr>
        <w:t>上年工业能源消费量</w:t>
      </w:r>
      <w:r>
        <w:rPr>
          <w:rFonts w:hint="eastAsia"/>
          <w:szCs w:val="21"/>
        </w:rPr>
        <w:t>”</w:t>
      </w:r>
      <w:r>
        <w:rPr>
          <w:szCs w:val="21"/>
        </w:rPr>
        <w:t>是指上年能源平衡表中工业能源消费量数据。</w:t>
      </w:r>
    </w:p>
    <w:p>
      <w:pPr>
        <w:pStyle w:val="16"/>
        <w:spacing w:line="360" w:lineRule="exact"/>
        <w:ind w:firstLine="0" w:firstLineChars="0"/>
        <w:textAlignment w:val="center"/>
        <w:rPr>
          <w:spacing w:val="8"/>
          <w:sz w:val="18"/>
          <w:szCs w:val="18"/>
        </w:rPr>
      </w:pPr>
      <w:r>
        <w:rPr>
          <w:spacing w:val="8"/>
          <w:sz w:val="18"/>
          <w:szCs w:val="18"/>
        </w:rPr>
        <w:t>表</w:t>
      </w:r>
      <w:r>
        <w:rPr>
          <w:rFonts w:hAnsi="Times New Roman"/>
          <w:sz w:val="18"/>
          <w:szCs w:val="18"/>
        </w:rPr>
        <w:t>4</w:t>
      </w:r>
    </w:p>
    <w:tbl>
      <w:tblPr>
        <w:tblStyle w:val="25"/>
        <w:tblW w:w="9418"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60"/>
        <w:gridCol w:w="1501"/>
        <w:gridCol w:w="1417"/>
        <w:gridCol w:w="1560"/>
        <w:gridCol w:w="1559"/>
        <w:gridCol w:w="162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45" w:hRule="atLeast"/>
        </w:trPr>
        <w:tc>
          <w:tcPr>
            <w:tcW w:w="1760" w:type="dxa"/>
            <w:vAlign w:val="center"/>
          </w:tcPr>
          <w:p>
            <w:pPr>
              <w:spacing w:line="240" w:lineRule="exact"/>
              <w:jc w:val="center"/>
              <w:textAlignment w:val="center"/>
              <w:rPr>
                <w:spacing w:val="8"/>
                <w:sz w:val="18"/>
                <w:szCs w:val="18"/>
              </w:rPr>
            </w:pPr>
            <w:r>
              <w:rPr>
                <w:spacing w:val="8"/>
                <w:sz w:val="18"/>
                <w:szCs w:val="18"/>
              </w:rPr>
              <w:t>指标名称</w:t>
            </w:r>
          </w:p>
        </w:tc>
        <w:tc>
          <w:tcPr>
            <w:tcW w:w="1501" w:type="dxa"/>
            <w:vAlign w:val="center"/>
          </w:tcPr>
          <w:p>
            <w:pPr>
              <w:spacing w:line="240" w:lineRule="atLeast"/>
              <w:ind w:left="-105" w:leftChars="-50" w:right="-105" w:rightChars="-50"/>
              <w:jc w:val="center"/>
              <w:textAlignment w:val="center"/>
              <w:rPr>
                <w:kern w:val="0"/>
                <w:sz w:val="18"/>
                <w:szCs w:val="18"/>
              </w:rPr>
            </w:pPr>
            <w:r>
              <w:rPr>
                <w:spacing w:val="30"/>
                <w:kern w:val="0"/>
                <w:sz w:val="18"/>
                <w:szCs w:val="18"/>
              </w:rPr>
              <w:t>上年工</w:t>
            </w:r>
            <w:r>
              <w:rPr>
                <w:kern w:val="0"/>
                <w:sz w:val="18"/>
                <w:szCs w:val="18"/>
              </w:rPr>
              <w:t>业</w:t>
            </w:r>
          </w:p>
          <w:p>
            <w:pPr>
              <w:spacing w:line="240" w:lineRule="exact"/>
              <w:ind w:left="-105" w:leftChars="-50" w:right="-105" w:rightChars="-50"/>
              <w:jc w:val="center"/>
              <w:textAlignment w:val="center"/>
              <w:rPr>
                <w:sz w:val="20"/>
                <w:szCs w:val="20"/>
              </w:rPr>
            </w:pPr>
            <w:r>
              <w:rPr>
                <w:sz w:val="18"/>
                <w:szCs w:val="18"/>
              </w:rPr>
              <w:t>（万吨标准煤）</w:t>
            </w:r>
          </w:p>
        </w:tc>
        <w:tc>
          <w:tcPr>
            <w:tcW w:w="1417" w:type="dxa"/>
            <w:vAlign w:val="center"/>
          </w:tcPr>
          <w:p>
            <w:pPr>
              <w:spacing w:line="240" w:lineRule="exact"/>
              <w:ind w:left="-105" w:leftChars="-50" w:right="-105" w:rightChars="-50"/>
              <w:jc w:val="center"/>
              <w:textAlignment w:val="center"/>
              <w:rPr>
                <w:kern w:val="0"/>
                <w:sz w:val="18"/>
                <w:szCs w:val="18"/>
              </w:rPr>
            </w:pPr>
            <w:r>
              <w:rPr>
                <w:kern w:val="0"/>
                <w:sz w:val="18"/>
                <w:szCs w:val="18"/>
              </w:rPr>
              <w:t>上年规模</w:t>
            </w:r>
          </w:p>
          <w:p>
            <w:pPr>
              <w:spacing w:line="240" w:lineRule="exact"/>
              <w:ind w:left="-105" w:leftChars="-50" w:right="-105" w:rightChars="-50"/>
              <w:jc w:val="center"/>
              <w:textAlignment w:val="center"/>
              <w:rPr>
                <w:kern w:val="0"/>
                <w:sz w:val="18"/>
                <w:szCs w:val="18"/>
              </w:rPr>
            </w:pPr>
            <w:r>
              <w:rPr>
                <w:kern w:val="0"/>
                <w:sz w:val="18"/>
                <w:szCs w:val="18"/>
              </w:rPr>
              <w:t>以上工业</w:t>
            </w:r>
          </w:p>
          <w:p>
            <w:pPr>
              <w:spacing w:line="240" w:lineRule="exact"/>
              <w:ind w:left="-105" w:leftChars="-50" w:right="-105" w:rightChars="-50"/>
              <w:jc w:val="center"/>
              <w:textAlignment w:val="center"/>
              <w:rPr>
                <w:sz w:val="18"/>
                <w:szCs w:val="18"/>
              </w:rPr>
            </w:pPr>
            <w:r>
              <w:rPr>
                <w:sz w:val="18"/>
                <w:szCs w:val="18"/>
              </w:rPr>
              <w:t>（万吨标准煤）</w:t>
            </w:r>
          </w:p>
        </w:tc>
        <w:tc>
          <w:tcPr>
            <w:tcW w:w="1560" w:type="dxa"/>
            <w:vAlign w:val="center"/>
          </w:tcPr>
          <w:p>
            <w:pPr>
              <w:spacing w:line="240" w:lineRule="exact"/>
              <w:ind w:firstLine="98" w:firstLineChars="50"/>
              <w:jc w:val="left"/>
              <w:textAlignment w:val="center"/>
              <w:rPr>
                <w:spacing w:val="8"/>
                <w:sz w:val="18"/>
                <w:szCs w:val="18"/>
              </w:rPr>
            </w:pPr>
            <w:r>
              <w:rPr>
                <w:rFonts w:hint="eastAsia"/>
                <w:spacing w:val="8"/>
                <w:sz w:val="18"/>
                <w:szCs w:val="18"/>
              </w:rPr>
              <w:t>上年规模以上</w:t>
            </w:r>
          </w:p>
          <w:p>
            <w:pPr>
              <w:spacing w:line="240" w:lineRule="exact"/>
              <w:ind w:firstLine="98" w:firstLineChars="50"/>
              <w:jc w:val="left"/>
              <w:textAlignment w:val="center"/>
              <w:rPr>
                <w:spacing w:val="8"/>
                <w:sz w:val="18"/>
                <w:szCs w:val="18"/>
              </w:rPr>
            </w:pPr>
            <w:r>
              <w:rPr>
                <w:rFonts w:hint="eastAsia"/>
                <w:spacing w:val="8"/>
                <w:sz w:val="18"/>
                <w:szCs w:val="18"/>
              </w:rPr>
              <w:t>工业占全部工</w:t>
            </w:r>
          </w:p>
          <w:p>
            <w:pPr>
              <w:spacing w:line="240" w:lineRule="exact"/>
              <w:ind w:firstLine="98" w:firstLineChars="50"/>
              <w:jc w:val="left"/>
              <w:textAlignment w:val="center"/>
              <w:rPr>
                <w:spacing w:val="8"/>
                <w:sz w:val="18"/>
                <w:szCs w:val="18"/>
              </w:rPr>
            </w:pPr>
            <w:r>
              <w:rPr>
                <w:rFonts w:hint="eastAsia"/>
                <w:spacing w:val="8"/>
                <w:sz w:val="18"/>
                <w:szCs w:val="18"/>
              </w:rPr>
              <w:t>业比重</w:t>
            </w:r>
            <w:r>
              <w:rPr>
                <w:sz w:val="18"/>
                <w:szCs w:val="18"/>
              </w:rPr>
              <w:t>（</w:t>
            </w:r>
            <w:r>
              <w:rPr>
                <w:rFonts w:ascii="宋体" w:hAnsi="宋体"/>
                <w:sz w:val="18"/>
                <w:szCs w:val="18"/>
              </w:rPr>
              <w:t>%</w:t>
            </w:r>
            <w:r>
              <w:rPr>
                <w:sz w:val="18"/>
                <w:szCs w:val="18"/>
              </w:rPr>
              <w:t>）</w:t>
            </w:r>
          </w:p>
        </w:tc>
        <w:tc>
          <w:tcPr>
            <w:tcW w:w="1559" w:type="dxa"/>
            <w:vAlign w:val="center"/>
          </w:tcPr>
          <w:p>
            <w:pPr>
              <w:spacing w:line="240" w:lineRule="exact"/>
              <w:jc w:val="center"/>
              <w:textAlignment w:val="center"/>
              <w:rPr>
                <w:kern w:val="0"/>
                <w:sz w:val="18"/>
                <w:szCs w:val="18"/>
              </w:rPr>
            </w:pPr>
            <w:r>
              <w:rPr>
                <w:rFonts w:hint="eastAsia"/>
                <w:kern w:val="0"/>
                <w:sz w:val="18"/>
                <w:szCs w:val="18"/>
              </w:rPr>
              <w:t>本期规模</w:t>
            </w:r>
          </w:p>
          <w:p>
            <w:pPr>
              <w:spacing w:line="240" w:lineRule="exact"/>
              <w:jc w:val="center"/>
              <w:textAlignment w:val="center"/>
              <w:rPr>
                <w:kern w:val="0"/>
                <w:sz w:val="18"/>
                <w:szCs w:val="18"/>
              </w:rPr>
            </w:pPr>
            <w:r>
              <w:rPr>
                <w:rFonts w:hint="eastAsia"/>
                <w:kern w:val="0"/>
                <w:sz w:val="18"/>
                <w:szCs w:val="18"/>
              </w:rPr>
              <w:t>以上</w:t>
            </w:r>
            <w:r>
              <w:rPr>
                <w:kern w:val="0"/>
                <w:sz w:val="18"/>
                <w:szCs w:val="18"/>
              </w:rPr>
              <w:t>工业</w:t>
            </w:r>
          </w:p>
          <w:p>
            <w:pPr>
              <w:spacing w:line="240" w:lineRule="exact"/>
              <w:jc w:val="center"/>
              <w:textAlignment w:val="center"/>
              <w:rPr>
                <w:kern w:val="0"/>
                <w:sz w:val="18"/>
                <w:szCs w:val="18"/>
              </w:rPr>
            </w:pPr>
            <w:r>
              <w:rPr>
                <w:kern w:val="0"/>
                <w:sz w:val="18"/>
                <w:szCs w:val="18"/>
              </w:rPr>
              <w:t>（</w:t>
            </w:r>
            <w:r>
              <w:rPr>
                <w:rFonts w:hint="eastAsia"/>
                <w:kern w:val="0"/>
                <w:sz w:val="18"/>
                <w:szCs w:val="18"/>
              </w:rPr>
              <w:t>万吨标准煤）</w:t>
            </w:r>
          </w:p>
        </w:tc>
        <w:tc>
          <w:tcPr>
            <w:tcW w:w="1621" w:type="dxa"/>
            <w:vAlign w:val="center"/>
          </w:tcPr>
          <w:p>
            <w:pPr>
              <w:spacing w:line="240" w:lineRule="exact"/>
              <w:jc w:val="center"/>
              <w:textAlignment w:val="center"/>
              <w:rPr>
                <w:sz w:val="18"/>
                <w:szCs w:val="18"/>
              </w:rPr>
            </w:pPr>
            <w:r>
              <w:rPr>
                <w:spacing w:val="30"/>
                <w:kern w:val="0"/>
                <w:sz w:val="18"/>
                <w:szCs w:val="18"/>
              </w:rPr>
              <w:t>本期工</w:t>
            </w:r>
            <w:r>
              <w:rPr>
                <w:kern w:val="0"/>
                <w:sz w:val="18"/>
                <w:szCs w:val="18"/>
              </w:rPr>
              <w:t>业</w:t>
            </w:r>
          </w:p>
          <w:p>
            <w:pPr>
              <w:spacing w:line="240" w:lineRule="exact"/>
              <w:jc w:val="center"/>
              <w:textAlignment w:val="center"/>
              <w:rPr>
                <w:sz w:val="18"/>
                <w:szCs w:val="18"/>
              </w:rPr>
            </w:pPr>
            <w:r>
              <w:rPr>
                <w:sz w:val="18"/>
                <w:szCs w:val="18"/>
              </w:rPr>
              <w:t>（</w:t>
            </w:r>
            <w:r>
              <w:rPr>
                <w:rFonts w:hint="eastAsia"/>
                <w:sz w:val="18"/>
                <w:szCs w:val="18"/>
              </w:rPr>
              <w:t>万吨标准煤）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60"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甲</w:t>
            </w:r>
          </w:p>
        </w:tc>
        <w:tc>
          <w:tcPr>
            <w:tcW w:w="1501"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1</w:t>
            </w:r>
          </w:p>
        </w:tc>
        <w:tc>
          <w:tcPr>
            <w:tcW w:w="1417"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2</w:t>
            </w:r>
          </w:p>
        </w:tc>
        <w:tc>
          <w:tcPr>
            <w:tcW w:w="1560"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3</w:t>
            </w:r>
          </w:p>
        </w:tc>
        <w:tc>
          <w:tcPr>
            <w:tcW w:w="1559"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4</w:t>
            </w:r>
          </w:p>
        </w:tc>
        <w:tc>
          <w:tcPr>
            <w:tcW w:w="1621" w:type="dxa"/>
            <w:tcBorders>
              <w:bottom w:val="single" w:color="auto" w:sz="2" w:space="0"/>
            </w:tcBorders>
            <w:vAlign w:val="center"/>
          </w:tcPr>
          <w:p>
            <w:pPr>
              <w:spacing w:line="300" w:lineRule="exact"/>
              <w:jc w:val="center"/>
              <w:textAlignment w:val="center"/>
              <w:rPr>
                <w:spacing w:val="8"/>
                <w:sz w:val="18"/>
                <w:szCs w:val="18"/>
              </w:rPr>
            </w:pPr>
            <w:r>
              <w:rPr>
                <w:spacing w:val="8"/>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29" w:hRule="atLeast"/>
        </w:trPr>
        <w:tc>
          <w:tcPr>
            <w:tcW w:w="1760" w:type="dxa"/>
            <w:tcBorders>
              <w:top w:val="single" w:color="auto" w:sz="2" w:space="0"/>
              <w:bottom w:val="single" w:color="auto" w:sz="2" w:space="0"/>
            </w:tcBorders>
            <w:vAlign w:val="center"/>
          </w:tcPr>
          <w:p>
            <w:pPr>
              <w:spacing w:line="300" w:lineRule="exact"/>
              <w:jc w:val="center"/>
              <w:textAlignment w:val="center"/>
              <w:rPr>
                <w:spacing w:val="8"/>
                <w:sz w:val="18"/>
                <w:szCs w:val="18"/>
              </w:rPr>
            </w:pPr>
            <w:r>
              <w:rPr>
                <w:spacing w:val="8"/>
                <w:sz w:val="18"/>
                <w:szCs w:val="18"/>
              </w:rPr>
              <w:t>能源消费量</w:t>
            </w:r>
          </w:p>
        </w:tc>
        <w:tc>
          <w:tcPr>
            <w:tcW w:w="1501" w:type="dxa"/>
            <w:tcBorders>
              <w:top w:val="single" w:color="auto" w:sz="2" w:space="0"/>
              <w:bottom w:val="single" w:color="auto" w:sz="2" w:space="0"/>
            </w:tcBorders>
          </w:tcPr>
          <w:p>
            <w:pPr>
              <w:spacing w:line="300" w:lineRule="exact"/>
              <w:textAlignment w:val="center"/>
              <w:rPr>
                <w:spacing w:val="8"/>
                <w:sz w:val="18"/>
                <w:szCs w:val="18"/>
              </w:rPr>
            </w:pPr>
          </w:p>
        </w:tc>
        <w:tc>
          <w:tcPr>
            <w:tcW w:w="1417" w:type="dxa"/>
            <w:tcBorders>
              <w:top w:val="single" w:color="auto" w:sz="2" w:space="0"/>
              <w:bottom w:val="single" w:color="auto" w:sz="2" w:space="0"/>
            </w:tcBorders>
          </w:tcPr>
          <w:p>
            <w:pPr>
              <w:spacing w:line="300" w:lineRule="exact"/>
              <w:textAlignment w:val="center"/>
              <w:rPr>
                <w:spacing w:val="8"/>
                <w:sz w:val="18"/>
                <w:szCs w:val="18"/>
              </w:rPr>
            </w:pPr>
          </w:p>
        </w:tc>
        <w:tc>
          <w:tcPr>
            <w:tcW w:w="1560" w:type="dxa"/>
            <w:tcBorders>
              <w:top w:val="single" w:color="auto" w:sz="2" w:space="0"/>
              <w:bottom w:val="single" w:color="auto" w:sz="2" w:space="0"/>
            </w:tcBorders>
            <w:vAlign w:val="center"/>
          </w:tcPr>
          <w:p>
            <w:pPr>
              <w:spacing w:line="300" w:lineRule="exact"/>
              <w:jc w:val="center"/>
              <w:textAlignment w:val="center"/>
              <w:rPr>
                <w:spacing w:val="8"/>
                <w:sz w:val="18"/>
                <w:szCs w:val="18"/>
              </w:rPr>
            </w:pPr>
            <w:r>
              <w:rPr>
                <w:spacing w:val="8"/>
                <w:sz w:val="18"/>
                <w:szCs w:val="18"/>
              </w:rPr>
              <w:t>3=2/1</w:t>
            </w:r>
          </w:p>
        </w:tc>
        <w:tc>
          <w:tcPr>
            <w:tcW w:w="1559" w:type="dxa"/>
            <w:tcBorders>
              <w:top w:val="single" w:color="auto" w:sz="2" w:space="0"/>
              <w:bottom w:val="single" w:color="auto" w:sz="2" w:space="0"/>
            </w:tcBorders>
            <w:vAlign w:val="center"/>
          </w:tcPr>
          <w:p>
            <w:pPr>
              <w:spacing w:line="300" w:lineRule="exact"/>
              <w:jc w:val="center"/>
              <w:textAlignment w:val="center"/>
              <w:rPr>
                <w:spacing w:val="8"/>
                <w:sz w:val="18"/>
                <w:szCs w:val="18"/>
              </w:rPr>
            </w:pPr>
          </w:p>
        </w:tc>
        <w:tc>
          <w:tcPr>
            <w:tcW w:w="1621" w:type="dxa"/>
            <w:tcBorders>
              <w:top w:val="single" w:color="auto" w:sz="2" w:space="0"/>
              <w:bottom w:val="single" w:color="auto" w:sz="2" w:space="0"/>
            </w:tcBorders>
            <w:vAlign w:val="center"/>
          </w:tcPr>
          <w:p>
            <w:pPr>
              <w:spacing w:line="300" w:lineRule="exact"/>
              <w:jc w:val="center"/>
              <w:textAlignment w:val="center"/>
              <w:rPr>
                <w:spacing w:val="8"/>
                <w:sz w:val="18"/>
                <w:szCs w:val="18"/>
              </w:rPr>
            </w:pPr>
            <w:r>
              <w:rPr>
                <w:spacing w:val="8"/>
                <w:sz w:val="18"/>
                <w:szCs w:val="18"/>
              </w:rPr>
              <w:t>5=4/3</w:t>
            </w:r>
          </w:p>
        </w:tc>
      </w:tr>
    </w:tbl>
    <w:p>
      <w:pPr>
        <w:spacing w:line="360" w:lineRule="exact"/>
        <w:ind w:right="-40" w:firstLine="420" w:firstLineChars="200"/>
        <w:textAlignment w:val="center"/>
        <w:rPr>
          <w:rFonts w:ascii="楷体_GB2312" w:eastAsia="楷体_GB2312"/>
          <w:szCs w:val="21"/>
        </w:rPr>
      </w:pPr>
      <w:r>
        <w:rPr>
          <w:rFonts w:hint="eastAsia" w:ascii="楷体_GB2312" w:eastAsia="楷体_GB2312"/>
          <w:szCs w:val="21"/>
        </w:rPr>
        <w:t>（三）建筑业</w:t>
      </w:r>
    </w:p>
    <w:p>
      <w:pPr>
        <w:spacing w:line="360" w:lineRule="exact"/>
        <w:ind w:right="-40" w:firstLine="420" w:firstLineChars="200"/>
        <w:textAlignment w:val="center"/>
        <w:rPr>
          <w:szCs w:val="21"/>
        </w:rPr>
      </w:pPr>
      <w:r>
        <w:rPr>
          <w:szCs w:val="21"/>
        </w:rPr>
        <w:t>分别按照核算方法一、核算方法二和核算方法三进行</w:t>
      </w:r>
      <w:r>
        <w:rPr>
          <w:rFonts w:hint="eastAsia"/>
          <w:szCs w:val="21"/>
        </w:rPr>
        <w:t>核算。</w:t>
      </w:r>
    </w:p>
    <w:p>
      <w:pPr>
        <w:spacing w:line="360" w:lineRule="exact"/>
        <w:ind w:right="-40" w:firstLine="420" w:firstLineChars="200"/>
        <w:textAlignment w:val="center"/>
        <w:rPr>
          <w:rFonts w:ascii="楷体_GB2312" w:eastAsia="楷体_GB2312"/>
          <w:szCs w:val="21"/>
        </w:rPr>
      </w:pPr>
      <w:r>
        <w:rPr>
          <w:rFonts w:hint="eastAsia" w:ascii="楷体_GB2312" w:eastAsia="楷体_GB2312"/>
          <w:szCs w:val="21"/>
        </w:rPr>
        <w:t>（四）交通运输、</w:t>
      </w:r>
      <w:r>
        <w:rPr>
          <w:rFonts w:ascii="楷体_GB2312" w:eastAsia="楷体_GB2312"/>
          <w:szCs w:val="21"/>
        </w:rPr>
        <w:t>仓储</w:t>
      </w:r>
      <w:r>
        <w:rPr>
          <w:rFonts w:hint="eastAsia" w:ascii="楷体_GB2312" w:eastAsia="楷体_GB2312"/>
          <w:szCs w:val="21"/>
        </w:rPr>
        <w:t>和</w:t>
      </w:r>
      <w:r>
        <w:rPr>
          <w:rFonts w:ascii="楷体_GB2312" w:eastAsia="楷体_GB2312"/>
          <w:szCs w:val="21"/>
        </w:rPr>
        <w:t>邮政业</w:t>
      </w:r>
    </w:p>
    <w:p>
      <w:pPr>
        <w:spacing w:line="360" w:lineRule="exact"/>
        <w:ind w:right="-40" w:firstLine="420" w:firstLineChars="200"/>
        <w:textAlignment w:val="center"/>
        <w:rPr>
          <w:szCs w:val="21"/>
        </w:rPr>
      </w:pPr>
      <w:r>
        <w:rPr>
          <w:rFonts w:hint="eastAsia"/>
          <w:szCs w:val="21"/>
        </w:rPr>
        <w:t>分别按照核算方法二、核算方法三进行核算，</w:t>
      </w:r>
      <w:r>
        <w:rPr>
          <w:szCs w:val="21"/>
        </w:rPr>
        <w:t>核算方法一使用核算方法二数据结果</w:t>
      </w:r>
      <w:r>
        <w:rPr>
          <w:rFonts w:hint="eastAsia"/>
          <w:szCs w:val="21"/>
        </w:rPr>
        <w:t>。</w:t>
      </w:r>
    </w:p>
    <w:p>
      <w:pPr>
        <w:spacing w:line="360" w:lineRule="exact"/>
        <w:ind w:right="-40" w:firstLine="420" w:firstLineChars="200"/>
        <w:textAlignment w:val="center"/>
        <w:rPr>
          <w:rFonts w:ascii="楷体_GB2312" w:eastAsia="楷体_GB2312"/>
          <w:szCs w:val="21"/>
        </w:rPr>
      </w:pPr>
      <w:r>
        <w:rPr>
          <w:rFonts w:hint="eastAsia" w:ascii="楷体_GB2312" w:eastAsia="楷体_GB2312"/>
          <w:szCs w:val="21"/>
        </w:rPr>
        <w:t>（五）服务业</w:t>
      </w:r>
      <w:r>
        <w:rPr>
          <w:rFonts w:hint="eastAsia" w:ascii="楷体_GB2312" w:eastAsia="楷体_GB2312"/>
          <w:szCs w:val="21"/>
          <w:vertAlign w:val="superscript"/>
        </w:rPr>
        <w:t>*</w:t>
      </w:r>
      <w:r>
        <w:rPr>
          <w:rFonts w:hint="eastAsia" w:ascii="楷体_GB2312" w:eastAsia="楷体_GB2312"/>
          <w:szCs w:val="21"/>
        </w:rPr>
        <w:t>（不含</w:t>
      </w:r>
      <w:r>
        <w:rPr>
          <w:rFonts w:ascii="楷体_GB2312" w:eastAsia="楷体_GB2312"/>
          <w:szCs w:val="21"/>
        </w:rPr>
        <w:t>交通运输、仓储和</w:t>
      </w:r>
      <w:r>
        <w:rPr>
          <w:rFonts w:hint="eastAsia" w:ascii="楷体_GB2312" w:eastAsia="楷体_GB2312"/>
          <w:szCs w:val="21"/>
        </w:rPr>
        <w:t>邮政业）</w:t>
      </w:r>
    </w:p>
    <w:p>
      <w:pPr>
        <w:spacing w:line="360" w:lineRule="exact"/>
        <w:ind w:right="-40" w:firstLine="420" w:firstLineChars="200"/>
        <w:textAlignment w:val="center"/>
        <w:rPr>
          <w:szCs w:val="21"/>
        </w:rPr>
      </w:pPr>
      <w:r>
        <w:rPr>
          <w:szCs w:val="21"/>
        </w:rPr>
        <w:t>分别按照核算方法一、核算方法二和核算方法三进行</w:t>
      </w:r>
      <w:r>
        <w:rPr>
          <w:rFonts w:hint="eastAsia"/>
          <w:szCs w:val="21"/>
        </w:rPr>
        <w:t>核算。</w:t>
      </w:r>
    </w:p>
    <w:p>
      <w:pPr>
        <w:spacing w:line="360" w:lineRule="exact"/>
        <w:ind w:right="-40" w:firstLine="420" w:firstLineChars="200"/>
        <w:textAlignment w:val="center"/>
        <w:rPr>
          <w:rFonts w:ascii="楷体_GB2312" w:eastAsia="楷体_GB2312"/>
          <w:szCs w:val="21"/>
        </w:rPr>
      </w:pPr>
      <w:r>
        <w:rPr>
          <w:rFonts w:ascii="楷体_GB2312" w:eastAsia="楷体_GB2312"/>
          <w:szCs w:val="21"/>
        </w:rPr>
        <w:t>（</w:t>
      </w:r>
      <w:r>
        <w:rPr>
          <w:rFonts w:hint="eastAsia" w:ascii="楷体_GB2312" w:eastAsia="楷体_GB2312"/>
          <w:szCs w:val="21"/>
        </w:rPr>
        <w:t>六</w:t>
      </w:r>
      <w:r>
        <w:rPr>
          <w:rFonts w:ascii="楷体_GB2312" w:eastAsia="楷体_GB2312"/>
          <w:szCs w:val="21"/>
        </w:rPr>
        <w:t>）居民生活</w:t>
      </w:r>
    </w:p>
    <w:p>
      <w:pPr>
        <w:spacing w:line="360" w:lineRule="exact"/>
        <w:ind w:firstLine="420" w:firstLineChars="200"/>
        <w:textAlignment w:val="center"/>
        <w:rPr>
          <w:szCs w:val="21"/>
        </w:rPr>
      </w:pPr>
      <w:r>
        <w:rPr>
          <w:rFonts w:hint="eastAsia" w:ascii="宋体" w:hAnsi="宋体"/>
          <w:szCs w:val="21"/>
        </w:rPr>
        <w:t>城镇、</w:t>
      </w:r>
      <w:r>
        <w:rPr>
          <w:rFonts w:ascii="宋体" w:hAnsi="宋体"/>
          <w:szCs w:val="21"/>
        </w:rPr>
        <w:t>乡村均</w:t>
      </w:r>
      <w:r>
        <w:rPr>
          <w:rFonts w:hint="eastAsia"/>
          <w:szCs w:val="21"/>
        </w:rPr>
        <w:t>按照核算方法一进行核算，</w:t>
      </w:r>
      <w:r>
        <w:rPr>
          <w:szCs w:val="21"/>
        </w:rPr>
        <w:t>核算方法二</w:t>
      </w:r>
      <w:r>
        <w:rPr>
          <w:rFonts w:hint="eastAsia"/>
          <w:szCs w:val="21"/>
        </w:rPr>
        <w:t>、</w:t>
      </w:r>
      <w:r>
        <w:rPr>
          <w:szCs w:val="21"/>
        </w:rPr>
        <w:t>三均使用核算方法一数据结果。</w:t>
      </w:r>
    </w:p>
    <w:p>
      <w:pPr>
        <w:spacing w:line="360" w:lineRule="exact"/>
        <w:ind w:firstLine="420" w:firstLineChars="200"/>
        <w:textAlignment w:val="center"/>
        <w:rPr>
          <w:rFonts w:eastAsia="黑体"/>
          <w:szCs w:val="21"/>
        </w:rPr>
      </w:pPr>
      <w:r>
        <w:rPr>
          <w:rFonts w:eastAsia="黑体"/>
          <w:szCs w:val="21"/>
        </w:rPr>
        <w:t>四、</w:t>
      </w:r>
      <w:r>
        <w:rPr>
          <w:rFonts w:hint="eastAsia" w:eastAsia="黑体"/>
          <w:szCs w:val="21"/>
        </w:rPr>
        <w:t>审核方法</w:t>
      </w:r>
    </w:p>
    <w:p>
      <w:pPr>
        <w:pStyle w:val="9"/>
        <w:spacing w:line="360" w:lineRule="exact"/>
        <w:ind w:right="0" w:firstLine="420" w:firstLineChars="200"/>
        <w:textAlignment w:val="center"/>
      </w:pPr>
      <w:r>
        <w:rPr>
          <w:rFonts w:hint="eastAsia"/>
          <w:szCs w:val="21"/>
        </w:rPr>
        <w:t>季度地区能源消费总量审核的重点是</w:t>
      </w:r>
      <w:r>
        <w:rPr>
          <w:szCs w:val="21"/>
        </w:rPr>
        <w:t>电力等价</w:t>
      </w:r>
      <w:r>
        <w:rPr>
          <w:rFonts w:hint="eastAsia"/>
          <w:szCs w:val="21"/>
        </w:rPr>
        <w:t>折标系数</w:t>
      </w:r>
      <w:r>
        <w:rPr>
          <w:szCs w:val="21"/>
        </w:rPr>
        <w:t>、分行业能耗增速、消费端与供应端数据、综合指标等。</w:t>
      </w:r>
      <w:r>
        <w:rPr>
          <w:rFonts w:hint="eastAsia"/>
          <w:szCs w:val="21"/>
        </w:rPr>
        <w:t>在</w:t>
      </w:r>
      <w:r>
        <w:rPr>
          <w:szCs w:val="21"/>
        </w:rPr>
        <w:t>对分行业</w:t>
      </w:r>
      <w:r>
        <w:rPr>
          <w:rFonts w:hint="eastAsia"/>
          <w:szCs w:val="21"/>
        </w:rPr>
        <w:t>能耗</w:t>
      </w:r>
      <w:r>
        <w:rPr>
          <w:szCs w:val="21"/>
        </w:rPr>
        <w:t>增速进行审核时，</w:t>
      </w:r>
      <w:r>
        <w:rPr>
          <w:rFonts w:hint="eastAsia"/>
          <w:szCs w:val="21"/>
        </w:rPr>
        <w:t>农、林、牧、渔业，</w:t>
      </w:r>
      <w:r>
        <w:rPr>
          <w:szCs w:val="21"/>
        </w:rPr>
        <w:t>建筑业</w:t>
      </w:r>
      <w:r>
        <w:rPr>
          <w:rFonts w:hint="eastAsia"/>
          <w:szCs w:val="21"/>
        </w:rPr>
        <w:t>，服务业</w:t>
      </w:r>
      <w:r>
        <w:rPr>
          <w:rFonts w:hint="eastAsia"/>
          <w:szCs w:val="21"/>
          <w:vertAlign w:val="superscript"/>
        </w:rPr>
        <w:t>*</w:t>
      </w:r>
      <w:r>
        <w:rPr>
          <w:rFonts w:hint="eastAsia"/>
          <w:szCs w:val="21"/>
        </w:rPr>
        <w:t>（不</w:t>
      </w:r>
      <w:r>
        <w:rPr>
          <w:szCs w:val="21"/>
        </w:rPr>
        <w:t>含</w:t>
      </w:r>
      <w:r>
        <w:rPr>
          <w:rFonts w:hint="eastAsia"/>
          <w:szCs w:val="21"/>
        </w:rPr>
        <w:t>交通运输、仓储和邮政业）、</w:t>
      </w:r>
      <w:r>
        <w:rPr>
          <w:szCs w:val="21"/>
        </w:rPr>
        <w:t>城镇居民生活和乡村居民生活主要依据电力</w:t>
      </w:r>
      <w:r>
        <w:rPr>
          <w:rFonts w:hint="eastAsia"/>
          <w:szCs w:val="21"/>
        </w:rPr>
        <w:t>推算数（</w:t>
      </w:r>
      <w:r>
        <w:rPr>
          <w:szCs w:val="21"/>
        </w:rPr>
        <w:t>是</w:t>
      </w:r>
      <w:r>
        <w:rPr>
          <w:rFonts w:hint="eastAsia"/>
          <w:szCs w:val="21"/>
        </w:rPr>
        <w:t>指各行业和居民生活本期用电量增速</w:t>
      </w:r>
      <w:r>
        <w:rPr>
          <w:szCs w:val="21"/>
        </w:rPr>
        <w:t>乘以</w:t>
      </w:r>
      <w:r>
        <w:rPr>
          <w:rFonts w:hint="eastAsia"/>
          <w:szCs w:val="21"/>
        </w:rPr>
        <w:t>上年能源平衡表中各行业和居民生活用电量占该行业和居民生活能源消费量的比重）；</w:t>
      </w:r>
      <w:r>
        <w:t>规模以上工业主要依据</w:t>
      </w:r>
      <w:r>
        <w:rPr>
          <w:rFonts w:hint="eastAsia"/>
        </w:rPr>
        <w:t>205-1/-2表</w:t>
      </w:r>
      <w:r>
        <w:t>数据；</w:t>
      </w:r>
      <w:r>
        <w:rPr>
          <w:rFonts w:hint="eastAsia"/>
        </w:rPr>
        <w:t>交通运输、仓储和邮政业，规模</w:t>
      </w:r>
      <w:r>
        <w:t>以下工业</w:t>
      </w:r>
      <w:r>
        <w:rPr>
          <w:rFonts w:hint="eastAsia"/>
        </w:rPr>
        <w:t>主要</w:t>
      </w:r>
      <w:r>
        <w:t>依据</w:t>
      </w:r>
      <w:r>
        <w:rPr>
          <w:rFonts w:hint="eastAsia"/>
        </w:rPr>
        <w:t>行业</w:t>
      </w:r>
      <w:r>
        <w:t>增加值数据</w:t>
      </w:r>
      <w:r>
        <w:rPr>
          <w:rFonts w:hint="eastAsia"/>
        </w:rPr>
        <w:t>。同</w:t>
      </w:r>
      <w:r>
        <w:t>时</w:t>
      </w:r>
      <w:r>
        <w:rPr>
          <w:rFonts w:hint="eastAsia"/>
        </w:rPr>
        <w:t>，</w:t>
      </w:r>
      <w:r>
        <w:t>结合国家数据进行审核</w:t>
      </w:r>
      <w:r>
        <w:rPr>
          <w:rFonts w:hint="eastAsia"/>
        </w:rPr>
        <w:t>。</w:t>
      </w:r>
    </w:p>
    <w:p>
      <w:pPr>
        <w:spacing w:line="360" w:lineRule="atLeast"/>
        <w:ind w:firstLine="420" w:firstLineChars="200"/>
        <w:textAlignment w:val="center"/>
        <w:rPr>
          <w:rFonts w:eastAsia="黑体"/>
          <w:szCs w:val="21"/>
        </w:rPr>
      </w:pPr>
      <w:r>
        <w:rPr>
          <w:rFonts w:eastAsia="黑体"/>
          <w:szCs w:val="21"/>
        </w:rPr>
        <w:t>五、核算结果报送</w:t>
      </w:r>
    </w:p>
    <w:p>
      <w:pPr>
        <w:spacing w:line="360" w:lineRule="atLeast"/>
        <w:ind w:firstLine="420" w:firstLineChars="200"/>
        <w:textAlignment w:val="center"/>
        <w:rPr>
          <w:spacing w:val="8"/>
          <w:sz w:val="18"/>
          <w:szCs w:val="18"/>
        </w:rPr>
      </w:pPr>
      <w:r>
        <w:rPr>
          <w:rFonts w:ascii="宋体" w:hAnsi="宋体"/>
          <w:szCs w:val="21"/>
        </w:rPr>
        <w:t>1.核算表</w:t>
      </w:r>
    </w:p>
    <w:p>
      <w:pPr>
        <w:ind w:firstLine="196" w:firstLineChars="100"/>
        <w:textAlignment w:val="center"/>
        <w:rPr>
          <w:spacing w:val="8"/>
          <w:sz w:val="18"/>
          <w:szCs w:val="18"/>
        </w:rPr>
      </w:pPr>
    </w:p>
    <w:p>
      <w:pPr>
        <w:textAlignment w:val="center"/>
        <w:rPr>
          <w:spacing w:val="8"/>
          <w:sz w:val="18"/>
          <w:szCs w:val="18"/>
        </w:rPr>
      </w:pPr>
    </w:p>
    <w:p>
      <w:pPr>
        <w:textAlignment w:val="center"/>
        <w:rPr>
          <w:spacing w:val="8"/>
          <w:sz w:val="18"/>
          <w:szCs w:val="18"/>
        </w:rPr>
      </w:pPr>
      <w:r>
        <w:rPr>
          <w:spacing w:val="8"/>
          <w:sz w:val="18"/>
          <w:szCs w:val="18"/>
        </w:rPr>
        <w:t>表</w:t>
      </w:r>
      <w:r>
        <w:rPr>
          <w:rFonts w:hint="eastAsia" w:ascii="宋体" w:hAnsi="宋体"/>
          <w:spacing w:val="8"/>
          <w:sz w:val="18"/>
          <w:szCs w:val="18"/>
        </w:rPr>
        <w:t>5</w:t>
      </w:r>
    </w:p>
    <w:tbl>
      <w:tblPr>
        <w:tblStyle w:val="25"/>
        <w:tblW w:w="9424" w:type="dxa"/>
        <w:tblInd w:w="28"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969"/>
        <w:gridCol w:w="1211"/>
        <w:gridCol w:w="531"/>
        <w:gridCol w:w="814"/>
        <w:gridCol w:w="815"/>
        <w:gridCol w:w="815"/>
        <w:gridCol w:w="634"/>
        <w:gridCol w:w="635"/>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0" w:hRule="atLeast"/>
        </w:trPr>
        <w:tc>
          <w:tcPr>
            <w:tcW w:w="3969" w:type="dxa"/>
            <w:vMerge w:val="restart"/>
            <w:tcBorders>
              <w:top w:val="single" w:color="auto" w:sz="8" w:space="0"/>
              <w:left w:val="nil"/>
              <w:bottom w:val="single" w:color="auto" w:sz="4" w:space="0"/>
              <w:right w:val="single" w:color="auto" w:sz="2" w:space="0"/>
            </w:tcBorders>
            <w:vAlign w:val="center"/>
          </w:tcPr>
          <w:p>
            <w:pPr>
              <w:jc w:val="center"/>
              <w:textAlignment w:val="center"/>
              <w:rPr>
                <w:sz w:val="18"/>
                <w:szCs w:val="18"/>
              </w:rPr>
            </w:pPr>
            <w:r>
              <w:rPr>
                <w:sz w:val="18"/>
                <w:szCs w:val="18"/>
              </w:rPr>
              <w:t>指标名称</w:t>
            </w:r>
          </w:p>
        </w:tc>
        <w:tc>
          <w:tcPr>
            <w:tcW w:w="1211" w:type="dxa"/>
            <w:vMerge w:val="restart"/>
            <w:tcBorders>
              <w:top w:val="single" w:color="auto" w:sz="8" w:space="0"/>
              <w:left w:val="single" w:color="auto" w:sz="2" w:space="0"/>
              <w:bottom w:val="single" w:color="auto" w:sz="4" w:space="0"/>
              <w:right w:val="single" w:color="auto" w:sz="2" w:space="0"/>
            </w:tcBorders>
            <w:vAlign w:val="center"/>
          </w:tcPr>
          <w:p>
            <w:pPr>
              <w:jc w:val="center"/>
              <w:textAlignment w:val="center"/>
              <w:rPr>
                <w:sz w:val="18"/>
                <w:szCs w:val="18"/>
              </w:rPr>
            </w:pPr>
            <w:r>
              <w:rPr>
                <w:sz w:val="18"/>
                <w:szCs w:val="18"/>
              </w:rPr>
              <w:t>计量单位</w:t>
            </w:r>
          </w:p>
        </w:tc>
        <w:tc>
          <w:tcPr>
            <w:tcW w:w="531" w:type="dxa"/>
            <w:vMerge w:val="restart"/>
            <w:tcBorders>
              <w:top w:val="single" w:color="auto" w:sz="8" w:space="0"/>
              <w:left w:val="single" w:color="auto" w:sz="2" w:space="0"/>
              <w:bottom w:val="single" w:color="auto" w:sz="4" w:space="0"/>
              <w:right w:val="single" w:color="auto" w:sz="2" w:space="0"/>
            </w:tcBorders>
            <w:vAlign w:val="center"/>
          </w:tcPr>
          <w:p>
            <w:pPr>
              <w:jc w:val="center"/>
              <w:textAlignment w:val="center"/>
              <w:rPr>
                <w:sz w:val="18"/>
                <w:szCs w:val="18"/>
              </w:rPr>
            </w:pPr>
            <w:r>
              <w:rPr>
                <w:sz w:val="18"/>
                <w:szCs w:val="18"/>
              </w:rPr>
              <w:t>代码</w:t>
            </w:r>
          </w:p>
        </w:tc>
        <w:tc>
          <w:tcPr>
            <w:tcW w:w="814" w:type="dxa"/>
            <w:vMerge w:val="restart"/>
            <w:tcBorders>
              <w:top w:val="single" w:color="auto" w:sz="8" w:space="0"/>
              <w:left w:val="single" w:color="auto" w:sz="2" w:space="0"/>
              <w:bottom w:val="single" w:color="auto" w:sz="4" w:space="0"/>
              <w:right w:val="single" w:color="auto" w:sz="2" w:space="0"/>
            </w:tcBorders>
            <w:vAlign w:val="center"/>
          </w:tcPr>
          <w:p>
            <w:pPr>
              <w:jc w:val="center"/>
              <w:textAlignment w:val="center"/>
              <w:rPr>
                <w:sz w:val="18"/>
                <w:szCs w:val="18"/>
              </w:rPr>
            </w:pPr>
            <w:r>
              <w:rPr>
                <w:sz w:val="18"/>
                <w:szCs w:val="18"/>
              </w:rPr>
              <w:t>本期</w:t>
            </w:r>
          </w:p>
        </w:tc>
        <w:tc>
          <w:tcPr>
            <w:tcW w:w="815" w:type="dxa"/>
            <w:vMerge w:val="restart"/>
            <w:tcBorders>
              <w:top w:val="single" w:color="auto" w:sz="8" w:space="0"/>
              <w:left w:val="single" w:color="auto" w:sz="2" w:space="0"/>
              <w:bottom w:val="single" w:color="auto" w:sz="4" w:space="0"/>
              <w:right w:val="single" w:color="auto" w:sz="2" w:space="0"/>
            </w:tcBorders>
            <w:vAlign w:val="center"/>
          </w:tcPr>
          <w:p>
            <w:pPr>
              <w:jc w:val="center"/>
              <w:textAlignment w:val="center"/>
              <w:rPr>
                <w:sz w:val="18"/>
                <w:szCs w:val="18"/>
              </w:rPr>
            </w:pPr>
            <w:r>
              <w:rPr>
                <w:sz w:val="18"/>
                <w:szCs w:val="18"/>
              </w:rPr>
              <w:t>上年同期</w:t>
            </w:r>
          </w:p>
        </w:tc>
        <w:tc>
          <w:tcPr>
            <w:tcW w:w="815" w:type="dxa"/>
            <w:vMerge w:val="restart"/>
            <w:tcBorders>
              <w:top w:val="single" w:color="auto" w:sz="8" w:space="0"/>
              <w:left w:val="single" w:color="auto" w:sz="2" w:space="0"/>
              <w:bottom w:val="single" w:color="auto" w:sz="4" w:space="0"/>
              <w:right w:val="single" w:color="auto" w:sz="2" w:space="0"/>
            </w:tcBorders>
            <w:vAlign w:val="center"/>
          </w:tcPr>
          <w:p>
            <w:pPr>
              <w:ind w:left="-105" w:leftChars="-50" w:right="-105" w:rightChars="-50"/>
              <w:jc w:val="center"/>
              <w:textAlignment w:val="center"/>
              <w:rPr>
                <w:kern w:val="0"/>
                <w:sz w:val="18"/>
                <w:szCs w:val="18"/>
              </w:rPr>
            </w:pPr>
            <w:r>
              <w:rPr>
                <w:kern w:val="0"/>
                <w:sz w:val="18"/>
                <w:szCs w:val="18"/>
              </w:rPr>
              <w:t>比上年同</w:t>
            </w:r>
          </w:p>
          <w:p>
            <w:pPr>
              <w:ind w:left="-105" w:leftChars="-50" w:right="-105" w:rightChars="-50"/>
              <w:jc w:val="center"/>
              <w:textAlignment w:val="center"/>
              <w:rPr>
                <w:kern w:val="0"/>
                <w:sz w:val="18"/>
                <w:szCs w:val="18"/>
              </w:rPr>
            </w:pPr>
            <w:r>
              <w:rPr>
                <w:kern w:val="0"/>
                <w:sz w:val="18"/>
                <w:szCs w:val="18"/>
              </w:rPr>
              <w:t>期</w:t>
            </w:r>
            <w:r>
              <w:rPr>
                <w:rFonts w:hint="eastAsia"/>
                <w:kern w:val="0"/>
                <w:sz w:val="18"/>
                <w:szCs w:val="18"/>
              </w:rPr>
              <w:t xml:space="preserve"> </w:t>
            </w:r>
            <w:r>
              <w:rPr>
                <w:kern w:val="0"/>
                <w:sz w:val="18"/>
                <w:szCs w:val="18"/>
              </w:rPr>
              <w:t>增</w:t>
            </w:r>
            <w:r>
              <w:rPr>
                <w:rFonts w:hint="eastAsia"/>
                <w:kern w:val="0"/>
                <w:sz w:val="18"/>
                <w:szCs w:val="18"/>
              </w:rPr>
              <w:t xml:space="preserve"> </w:t>
            </w:r>
            <w:r>
              <w:rPr>
                <w:kern w:val="0"/>
                <w:sz w:val="18"/>
                <w:szCs w:val="18"/>
              </w:rPr>
              <w:t>长</w:t>
            </w:r>
          </w:p>
          <w:p>
            <w:pPr>
              <w:ind w:left="-105" w:leftChars="-50" w:right="-105" w:rightChars="-50"/>
              <w:jc w:val="center"/>
              <w:textAlignment w:val="center"/>
              <w:rPr>
                <w:kern w:val="0"/>
                <w:sz w:val="18"/>
                <w:szCs w:val="18"/>
              </w:rPr>
            </w:pPr>
            <w:r>
              <w:rPr>
                <w:rFonts w:hint="eastAsia"/>
                <w:kern w:val="0"/>
                <w:sz w:val="18"/>
                <w:szCs w:val="18"/>
              </w:rPr>
              <w:t>（</w:t>
            </w:r>
            <w:r>
              <w:rPr>
                <w:rFonts w:ascii="宋体" w:hAnsi="宋体"/>
                <w:kern w:val="0"/>
                <w:sz w:val="18"/>
                <w:szCs w:val="18"/>
              </w:rPr>
              <w:t>%</w:t>
            </w:r>
            <w:r>
              <w:rPr>
                <w:rFonts w:hint="eastAsia"/>
                <w:kern w:val="0"/>
                <w:sz w:val="18"/>
                <w:szCs w:val="18"/>
              </w:rPr>
              <w:t>）</w:t>
            </w:r>
          </w:p>
        </w:tc>
        <w:tc>
          <w:tcPr>
            <w:tcW w:w="1269" w:type="dxa"/>
            <w:gridSpan w:val="2"/>
            <w:tcBorders>
              <w:top w:val="single" w:color="auto" w:sz="8" w:space="0"/>
              <w:left w:val="single" w:color="auto" w:sz="2" w:space="0"/>
              <w:bottom w:val="single" w:color="auto" w:sz="2" w:space="0"/>
              <w:right w:val="nil"/>
            </w:tcBorders>
            <w:vAlign w:val="center"/>
          </w:tcPr>
          <w:p>
            <w:pPr>
              <w:jc w:val="center"/>
              <w:textAlignment w:val="center"/>
              <w:rPr>
                <w:sz w:val="18"/>
                <w:szCs w:val="18"/>
              </w:rPr>
            </w:pPr>
            <w:r>
              <w:rPr>
                <w:sz w:val="18"/>
                <w:szCs w:val="18"/>
              </w:rPr>
              <w:t>能耗比重</w:t>
            </w:r>
            <w:r>
              <w:rPr>
                <w:rFonts w:hint="eastAsia"/>
                <w:sz w:val="18"/>
                <w:szCs w:val="18"/>
              </w:rPr>
              <w:t>（</w:t>
            </w:r>
            <w:r>
              <w:rPr>
                <w:rFonts w:ascii="宋体" w:hAnsi="宋体"/>
                <w:sz w:val="18"/>
                <w:szCs w:val="18"/>
              </w:rPr>
              <w:t>%</w:t>
            </w:r>
            <w:r>
              <w:rPr>
                <w:rFonts w:hint="eastAsia"/>
                <w:sz w:val="18"/>
                <w:szCs w:val="18"/>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0" w:hRule="atLeast"/>
        </w:trPr>
        <w:tc>
          <w:tcPr>
            <w:tcW w:w="3969" w:type="dxa"/>
            <w:vMerge w:val="continue"/>
            <w:tcBorders>
              <w:left w:val="nil"/>
              <w:bottom w:val="single" w:color="auto" w:sz="2" w:space="0"/>
              <w:right w:val="single" w:color="auto" w:sz="2" w:space="0"/>
            </w:tcBorders>
            <w:vAlign w:val="center"/>
          </w:tcPr>
          <w:p>
            <w:pPr>
              <w:jc w:val="center"/>
              <w:textAlignment w:val="center"/>
              <w:rPr>
                <w:sz w:val="18"/>
                <w:szCs w:val="18"/>
              </w:rPr>
            </w:pPr>
          </w:p>
        </w:tc>
        <w:tc>
          <w:tcPr>
            <w:tcW w:w="1211" w:type="dxa"/>
            <w:vMerge w:val="continue"/>
            <w:tcBorders>
              <w:left w:val="single" w:color="auto" w:sz="2" w:space="0"/>
              <w:bottom w:val="single" w:color="auto" w:sz="2" w:space="0"/>
              <w:right w:val="single" w:color="auto" w:sz="2" w:space="0"/>
            </w:tcBorders>
            <w:vAlign w:val="center"/>
          </w:tcPr>
          <w:p>
            <w:pPr>
              <w:jc w:val="center"/>
              <w:textAlignment w:val="center"/>
              <w:rPr>
                <w:sz w:val="18"/>
                <w:szCs w:val="18"/>
              </w:rPr>
            </w:pPr>
          </w:p>
        </w:tc>
        <w:tc>
          <w:tcPr>
            <w:tcW w:w="531" w:type="dxa"/>
            <w:vMerge w:val="continue"/>
            <w:tcBorders>
              <w:left w:val="single" w:color="auto" w:sz="2" w:space="0"/>
              <w:bottom w:val="single" w:color="auto" w:sz="2" w:space="0"/>
              <w:right w:val="single" w:color="auto" w:sz="2" w:space="0"/>
            </w:tcBorders>
            <w:vAlign w:val="center"/>
          </w:tcPr>
          <w:p>
            <w:pPr>
              <w:jc w:val="center"/>
              <w:textAlignment w:val="center"/>
              <w:rPr>
                <w:sz w:val="18"/>
                <w:szCs w:val="18"/>
              </w:rPr>
            </w:pPr>
          </w:p>
        </w:tc>
        <w:tc>
          <w:tcPr>
            <w:tcW w:w="814" w:type="dxa"/>
            <w:vMerge w:val="continue"/>
            <w:tcBorders>
              <w:left w:val="single" w:color="auto" w:sz="2" w:space="0"/>
              <w:bottom w:val="single" w:color="auto" w:sz="2" w:space="0"/>
              <w:right w:val="single" w:color="auto" w:sz="2" w:space="0"/>
            </w:tcBorders>
            <w:vAlign w:val="center"/>
          </w:tcPr>
          <w:p>
            <w:pPr>
              <w:jc w:val="center"/>
              <w:textAlignment w:val="center"/>
              <w:rPr>
                <w:sz w:val="18"/>
                <w:szCs w:val="18"/>
              </w:rPr>
            </w:pPr>
          </w:p>
        </w:tc>
        <w:tc>
          <w:tcPr>
            <w:tcW w:w="815" w:type="dxa"/>
            <w:vMerge w:val="continue"/>
            <w:tcBorders>
              <w:left w:val="single" w:color="auto" w:sz="2" w:space="0"/>
              <w:bottom w:val="single" w:color="auto" w:sz="2" w:space="0"/>
              <w:right w:val="single" w:color="auto" w:sz="2" w:space="0"/>
            </w:tcBorders>
            <w:vAlign w:val="center"/>
          </w:tcPr>
          <w:p>
            <w:pPr>
              <w:jc w:val="center"/>
              <w:textAlignment w:val="center"/>
              <w:rPr>
                <w:sz w:val="18"/>
                <w:szCs w:val="18"/>
              </w:rPr>
            </w:pPr>
          </w:p>
        </w:tc>
        <w:tc>
          <w:tcPr>
            <w:tcW w:w="815" w:type="dxa"/>
            <w:vMerge w:val="continue"/>
            <w:tcBorders>
              <w:left w:val="single" w:color="auto" w:sz="2" w:space="0"/>
              <w:bottom w:val="single" w:color="auto" w:sz="2" w:space="0"/>
              <w:right w:val="single" w:color="auto" w:sz="2" w:space="0"/>
            </w:tcBorders>
            <w:vAlign w:val="center"/>
          </w:tcPr>
          <w:p>
            <w:pPr>
              <w:jc w:val="center"/>
              <w:textAlignment w:val="center"/>
              <w:rPr>
                <w:sz w:val="18"/>
                <w:szCs w:val="18"/>
              </w:rPr>
            </w:pPr>
          </w:p>
        </w:tc>
        <w:tc>
          <w:tcPr>
            <w:tcW w:w="634" w:type="dxa"/>
            <w:tcBorders>
              <w:top w:val="single" w:color="auto" w:sz="2" w:space="0"/>
              <w:left w:val="single" w:color="auto" w:sz="2" w:space="0"/>
              <w:bottom w:val="single" w:color="auto" w:sz="2" w:space="0"/>
              <w:right w:val="single" w:color="auto" w:sz="2" w:space="0"/>
            </w:tcBorders>
            <w:vAlign w:val="center"/>
          </w:tcPr>
          <w:p>
            <w:pPr>
              <w:jc w:val="center"/>
              <w:textAlignment w:val="center"/>
              <w:rPr>
                <w:sz w:val="18"/>
                <w:szCs w:val="18"/>
              </w:rPr>
            </w:pPr>
            <w:r>
              <w:rPr>
                <w:sz w:val="18"/>
                <w:szCs w:val="18"/>
              </w:rPr>
              <w:t>本期</w:t>
            </w:r>
          </w:p>
        </w:tc>
        <w:tc>
          <w:tcPr>
            <w:tcW w:w="635" w:type="dxa"/>
            <w:tcBorders>
              <w:top w:val="single" w:color="auto" w:sz="2" w:space="0"/>
              <w:left w:val="single" w:color="auto" w:sz="2" w:space="0"/>
              <w:bottom w:val="single" w:color="auto" w:sz="2" w:space="0"/>
              <w:right w:val="nil"/>
            </w:tcBorders>
            <w:vAlign w:val="center"/>
          </w:tcPr>
          <w:p>
            <w:pPr>
              <w:jc w:val="center"/>
              <w:textAlignment w:val="center"/>
              <w:rPr>
                <w:sz w:val="18"/>
                <w:szCs w:val="18"/>
              </w:rPr>
            </w:pPr>
            <w:r>
              <w:rPr>
                <w:sz w:val="18"/>
                <w:szCs w:val="18"/>
              </w:rPr>
              <w:t>上年</w:t>
            </w:r>
          </w:p>
          <w:p>
            <w:pPr>
              <w:jc w:val="center"/>
              <w:textAlignment w:val="center"/>
              <w:rPr>
                <w:sz w:val="18"/>
                <w:szCs w:val="18"/>
              </w:rPr>
            </w:pPr>
            <w:r>
              <w:rPr>
                <w:sz w:val="18"/>
                <w:szCs w:val="18"/>
              </w:rPr>
              <w:t>同期</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24" w:hRule="atLeast"/>
        </w:trPr>
        <w:tc>
          <w:tcPr>
            <w:tcW w:w="3969" w:type="dxa"/>
            <w:tcBorders>
              <w:top w:val="single" w:color="auto" w:sz="2" w:space="0"/>
              <w:left w:val="nil"/>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甲</w:t>
            </w:r>
          </w:p>
        </w:tc>
        <w:tc>
          <w:tcPr>
            <w:tcW w:w="121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乙</w:t>
            </w:r>
          </w:p>
        </w:tc>
        <w:tc>
          <w:tcPr>
            <w:tcW w:w="53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丙</w:t>
            </w:r>
          </w:p>
        </w:tc>
        <w:tc>
          <w:tcPr>
            <w:tcW w:w="81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1</w:t>
            </w:r>
          </w:p>
        </w:tc>
        <w:tc>
          <w:tcPr>
            <w:tcW w:w="81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2</w:t>
            </w:r>
          </w:p>
        </w:tc>
        <w:tc>
          <w:tcPr>
            <w:tcW w:w="81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3</w:t>
            </w:r>
          </w:p>
        </w:tc>
        <w:tc>
          <w:tcPr>
            <w:tcW w:w="63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textAlignment w:val="center"/>
              <w:rPr>
                <w:sz w:val="18"/>
                <w:szCs w:val="18"/>
              </w:rPr>
            </w:pPr>
            <w:r>
              <w:rPr>
                <w:sz w:val="18"/>
                <w:szCs w:val="18"/>
              </w:rPr>
              <w:t>4</w:t>
            </w:r>
          </w:p>
        </w:tc>
        <w:tc>
          <w:tcPr>
            <w:tcW w:w="635" w:type="dxa"/>
            <w:tcBorders>
              <w:top w:val="single" w:color="auto" w:sz="2" w:space="0"/>
              <w:left w:val="single" w:color="auto" w:sz="2" w:space="0"/>
              <w:bottom w:val="single" w:color="auto" w:sz="2" w:space="0"/>
              <w:right w:val="nil"/>
            </w:tcBorders>
            <w:vAlign w:val="center"/>
          </w:tcPr>
          <w:p>
            <w:pPr>
              <w:spacing w:line="240" w:lineRule="exact"/>
              <w:jc w:val="center"/>
              <w:textAlignment w:val="center"/>
              <w:rPr>
                <w:sz w:val="18"/>
                <w:szCs w:val="18"/>
              </w:rPr>
            </w:pPr>
            <w:r>
              <w:rPr>
                <w:sz w:val="18"/>
                <w:szCs w:val="18"/>
              </w:rPr>
              <w:t>5</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0" w:hRule="atLeast"/>
        </w:trPr>
        <w:tc>
          <w:tcPr>
            <w:tcW w:w="3969" w:type="dxa"/>
            <w:tcBorders>
              <w:top w:val="single" w:color="auto" w:sz="2" w:space="0"/>
              <w:left w:val="nil"/>
              <w:bottom w:val="single" w:color="auto" w:sz="8" w:space="0"/>
              <w:right w:val="single" w:color="auto" w:sz="2" w:space="0"/>
            </w:tcBorders>
            <w:vAlign w:val="center"/>
          </w:tcPr>
          <w:p>
            <w:pPr>
              <w:spacing w:line="240" w:lineRule="exact"/>
              <w:textAlignment w:val="center"/>
              <w:rPr>
                <w:sz w:val="18"/>
                <w:szCs w:val="18"/>
              </w:rPr>
            </w:pPr>
            <w:r>
              <w:rPr>
                <w:sz w:val="18"/>
                <w:szCs w:val="18"/>
              </w:rPr>
              <w:t>一、能源消费总量</w:t>
            </w:r>
          </w:p>
          <w:p>
            <w:pPr>
              <w:spacing w:line="240" w:lineRule="exact"/>
              <w:ind w:firstLine="180" w:firstLineChars="100"/>
              <w:textAlignment w:val="center"/>
              <w:rPr>
                <w:sz w:val="18"/>
                <w:szCs w:val="18"/>
              </w:rPr>
            </w:pPr>
            <w:r>
              <w:rPr>
                <w:rFonts w:hint="eastAsia"/>
                <w:sz w:val="18"/>
                <w:szCs w:val="18"/>
              </w:rPr>
              <w:t>（</w:t>
            </w:r>
            <w:r>
              <w:rPr>
                <w:sz w:val="18"/>
                <w:szCs w:val="18"/>
              </w:rPr>
              <w:t>一</w:t>
            </w:r>
            <w:r>
              <w:rPr>
                <w:rFonts w:hint="eastAsia"/>
                <w:sz w:val="18"/>
                <w:szCs w:val="18"/>
              </w:rPr>
              <w:t>）</w:t>
            </w:r>
            <w:r>
              <w:rPr>
                <w:sz w:val="18"/>
                <w:szCs w:val="18"/>
              </w:rPr>
              <w:t>农、林、牧、渔业</w:t>
            </w:r>
          </w:p>
          <w:p>
            <w:pPr>
              <w:spacing w:line="240" w:lineRule="exact"/>
              <w:ind w:firstLine="180" w:firstLineChars="100"/>
              <w:textAlignment w:val="center"/>
              <w:rPr>
                <w:sz w:val="18"/>
                <w:szCs w:val="18"/>
              </w:rPr>
            </w:pPr>
            <w:r>
              <w:rPr>
                <w:rFonts w:hint="eastAsia"/>
                <w:sz w:val="18"/>
                <w:szCs w:val="18"/>
              </w:rPr>
              <w:t>（</w:t>
            </w:r>
            <w:r>
              <w:rPr>
                <w:sz w:val="18"/>
                <w:szCs w:val="18"/>
              </w:rPr>
              <w:t>二</w:t>
            </w:r>
            <w:r>
              <w:rPr>
                <w:rFonts w:hint="eastAsia"/>
                <w:sz w:val="18"/>
                <w:szCs w:val="18"/>
              </w:rPr>
              <w:t>）</w:t>
            </w:r>
            <w:r>
              <w:rPr>
                <w:sz w:val="18"/>
                <w:szCs w:val="18"/>
              </w:rPr>
              <w:t>工业和建筑业</w:t>
            </w:r>
          </w:p>
          <w:p>
            <w:pPr>
              <w:spacing w:line="240" w:lineRule="exact"/>
              <w:ind w:firstLine="360" w:firstLineChars="200"/>
              <w:textAlignment w:val="center"/>
              <w:rPr>
                <w:sz w:val="18"/>
                <w:szCs w:val="18"/>
              </w:rPr>
            </w:pPr>
            <w:r>
              <w:rPr>
                <w:rFonts w:ascii="宋体" w:hAnsi="宋体"/>
                <w:sz w:val="18"/>
                <w:szCs w:val="18"/>
              </w:rPr>
              <w:t xml:space="preserve">  1.</w:t>
            </w:r>
            <w:r>
              <w:rPr>
                <w:sz w:val="18"/>
                <w:szCs w:val="18"/>
              </w:rPr>
              <w:t>工业</w:t>
            </w:r>
          </w:p>
          <w:p>
            <w:pPr>
              <w:spacing w:line="240" w:lineRule="exact"/>
              <w:ind w:firstLine="630" w:firstLineChars="350"/>
              <w:textAlignment w:val="center"/>
              <w:rPr>
                <w:sz w:val="18"/>
                <w:szCs w:val="18"/>
              </w:rPr>
            </w:pPr>
            <w:r>
              <w:rPr>
                <w:rFonts w:hint="eastAsia"/>
                <w:sz w:val="18"/>
                <w:szCs w:val="18"/>
              </w:rPr>
              <w:t>（</w:t>
            </w:r>
            <w:r>
              <w:rPr>
                <w:rFonts w:ascii="宋体" w:hAnsi="宋体"/>
                <w:sz w:val="18"/>
                <w:szCs w:val="18"/>
              </w:rPr>
              <w:t>1</w:t>
            </w:r>
            <w:r>
              <w:rPr>
                <w:rFonts w:hint="eastAsia"/>
                <w:sz w:val="18"/>
                <w:szCs w:val="18"/>
              </w:rPr>
              <w:t>）</w:t>
            </w:r>
            <w:r>
              <w:rPr>
                <w:sz w:val="18"/>
                <w:szCs w:val="18"/>
              </w:rPr>
              <w:t>规模以上工业</w:t>
            </w:r>
          </w:p>
          <w:p>
            <w:pPr>
              <w:spacing w:line="240" w:lineRule="exact"/>
              <w:ind w:firstLine="630" w:firstLineChars="350"/>
              <w:textAlignment w:val="center"/>
              <w:rPr>
                <w:sz w:val="18"/>
                <w:szCs w:val="18"/>
              </w:rPr>
            </w:pPr>
            <w:r>
              <w:rPr>
                <w:rFonts w:hint="eastAsia"/>
                <w:sz w:val="18"/>
                <w:szCs w:val="18"/>
              </w:rPr>
              <w:t>（</w:t>
            </w:r>
            <w:r>
              <w:rPr>
                <w:rFonts w:ascii="宋体" w:hAnsi="宋体"/>
                <w:sz w:val="18"/>
                <w:szCs w:val="18"/>
              </w:rPr>
              <w:t>2</w:t>
            </w:r>
            <w:r>
              <w:rPr>
                <w:rFonts w:hint="eastAsia"/>
                <w:sz w:val="18"/>
                <w:szCs w:val="18"/>
              </w:rPr>
              <w:t>）</w:t>
            </w:r>
            <w:r>
              <w:rPr>
                <w:sz w:val="18"/>
                <w:szCs w:val="18"/>
              </w:rPr>
              <w:t>规模以下工业</w:t>
            </w:r>
          </w:p>
          <w:p>
            <w:pPr>
              <w:spacing w:line="240" w:lineRule="exact"/>
              <w:ind w:firstLine="360" w:firstLineChars="200"/>
              <w:textAlignment w:val="center"/>
              <w:rPr>
                <w:sz w:val="18"/>
                <w:szCs w:val="18"/>
              </w:rPr>
            </w:pPr>
            <w:r>
              <w:rPr>
                <w:rFonts w:ascii="宋体" w:hAnsi="宋体"/>
                <w:sz w:val="18"/>
                <w:szCs w:val="18"/>
              </w:rPr>
              <w:t xml:space="preserve">  2.</w:t>
            </w:r>
            <w:r>
              <w:rPr>
                <w:sz w:val="18"/>
                <w:szCs w:val="18"/>
              </w:rPr>
              <w:t>建筑业</w:t>
            </w:r>
          </w:p>
          <w:p>
            <w:pPr>
              <w:spacing w:line="240" w:lineRule="exact"/>
              <w:ind w:firstLine="180" w:firstLineChars="100"/>
              <w:textAlignment w:val="center"/>
              <w:rPr>
                <w:sz w:val="18"/>
                <w:szCs w:val="18"/>
              </w:rPr>
            </w:pPr>
            <w:r>
              <w:rPr>
                <w:rFonts w:hint="eastAsia"/>
                <w:sz w:val="18"/>
                <w:szCs w:val="18"/>
              </w:rPr>
              <w:t>（</w:t>
            </w:r>
            <w:r>
              <w:rPr>
                <w:sz w:val="18"/>
                <w:szCs w:val="18"/>
              </w:rPr>
              <w:t>三</w:t>
            </w:r>
            <w:r>
              <w:rPr>
                <w:rFonts w:hint="eastAsia"/>
                <w:sz w:val="18"/>
                <w:szCs w:val="18"/>
              </w:rPr>
              <w:t>）</w:t>
            </w:r>
            <w:r>
              <w:rPr>
                <w:sz w:val="18"/>
                <w:szCs w:val="18"/>
              </w:rPr>
              <w:t>服务业</w:t>
            </w:r>
            <w:r>
              <w:rPr>
                <w:rFonts w:hint="eastAsia"/>
                <w:kern w:val="0"/>
                <w:sz w:val="18"/>
                <w:szCs w:val="18"/>
                <w:vertAlign w:val="superscript"/>
              </w:rPr>
              <w:t>*</w:t>
            </w:r>
          </w:p>
          <w:p>
            <w:pPr>
              <w:spacing w:line="240" w:lineRule="exact"/>
              <w:ind w:firstLine="540" w:firstLineChars="300"/>
              <w:textAlignment w:val="center"/>
              <w:rPr>
                <w:sz w:val="18"/>
                <w:szCs w:val="18"/>
              </w:rPr>
            </w:pPr>
            <w:r>
              <w:rPr>
                <w:rFonts w:ascii="宋体" w:hAnsi="宋体"/>
                <w:sz w:val="18"/>
                <w:szCs w:val="18"/>
              </w:rPr>
              <w:t>1.</w:t>
            </w:r>
            <w:r>
              <w:rPr>
                <w:sz w:val="18"/>
                <w:szCs w:val="18"/>
              </w:rPr>
              <w:t>交通运输、仓储和邮政业</w:t>
            </w:r>
          </w:p>
          <w:p>
            <w:pPr>
              <w:widowControl/>
              <w:ind w:firstLine="540" w:firstLineChars="300"/>
              <w:jc w:val="left"/>
              <w:textAlignment w:val="center"/>
            </w:pPr>
            <w:r>
              <w:rPr>
                <w:rFonts w:ascii="宋体" w:hAnsi="宋体"/>
                <w:sz w:val="18"/>
                <w:szCs w:val="18"/>
              </w:rPr>
              <w:t>2.</w:t>
            </w:r>
            <w:r>
              <w:rPr>
                <w:sz w:val="18"/>
                <w:szCs w:val="18"/>
              </w:rPr>
              <w:t>服务业</w:t>
            </w:r>
            <w:r>
              <w:rPr>
                <w:sz w:val="18"/>
                <w:szCs w:val="18"/>
                <w:vertAlign w:val="superscript"/>
              </w:rPr>
              <w:t>*</w:t>
            </w:r>
            <w:r>
              <w:rPr>
                <w:rFonts w:hint="eastAsia"/>
                <w:sz w:val="18"/>
                <w:szCs w:val="18"/>
              </w:rPr>
              <w:t>（</w:t>
            </w:r>
            <w:r>
              <w:rPr>
                <w:sz w:val="18"/>
                <w:szCs w:val="18"/>
              </w:rPr>
              <w:t>不含交通运输、仓储和邮政业</w:t>
            </w:r>
            <w:r>
              <w:rPr>
                <w:rFonts w:hint="eastAsia"/>
                <w:sz w:val="18"/>
                <w:szCs w:val="18"/>
              </w:rPr>
              <w:t>）</w:t>
            </w:r>
          </w:p>
          <w:p>
            <w:pPr>
              <w:spacing w:line="240" w:lineRule="exact"/>
              <w:ind w:firstLine="180" w:firstLineChars="100"/>
              <w:textAlignment w:val="center"/>
              <w:rPr>
                <w:sz w:val="18"/>
                <w:szCs w:val="18"/>
              </w:rPr>
            </w:pPr>
            <w:r>
              <w:rPr>
                <w:rFonts w:hint="eastAsia"/>
                <w:sz w:val="18"/>
                <w:szCs w:val="18"/>
              </w:rPr>
              <w:t>（</w:t>
            </w:r>
            <w:r>
              <w:rPr>
                <w:sz w:val="18"/>
                <w:szCs w:val="18"/>
              </w:rPr>
              <w:t>四</w:t>
            </w:r>
            <w:r>
              <w:rPr>
                <w:rFonts w:hint="eastAsia"/>
                <w:sz w:val="18"/>
                <w:szCs w:val="18"/>
              </w:rPr>
              <w:t>）</w:t>
            </w:r>
            <w:r>
              <w:rPr>
                <w:sz w:val="18"/>
                <w:szCs w:val="18"/>
              </w:rPr>
              <w:t>居民生活</w:t>
            </w:r>
          </w:p>
          <w:p>
            <w:pPr>
              <w:spacing w:line="240" w:lineRule="exact"/>
              <w:ind w:firstLine="539"/>
              <w:textAlignment w:val="center"/>
              <w:rPr>
                <w:rFonts w:ascii="宋体" w:hAnsi="宋体"/>
                <w:sz w:val="18"/>
                <w:szCs w:val="18"/>
              </w:rPr>
            </w:pPr>
            <w:r>
              <w:rPr>
                <w:rFonts w:ascii="宋体" w:hAnsi="宋体"/>
                <w:sz w:val="18"/>
                <w:szCs w:val="18"/>
              </w:rPr>
              <w:t>1.</w:t>
            </w:r>
            <w:r>
              <w:rPr>
                <w:rFonts w:hint="eastAsia" w:ascii="宋体" w:hAnsi="宋体"/>
                <w:sz w:val="18"/>
                <w:szCs w:val="18"/>
              </w:rPr>
              <w:t>城镇</w:t>
            </w:r>
          </w:p>
          <w:p>
            <w:pPr>
              <w:spacing w:line="240" w:lineRule="exact"/>
              <w:ind w:firstLine="538" w:firstLineChars="299"/>
              <w:textAlignment w:val="center"/>
              <w:rPr>
                <w:rFonts w:ascii="宋体" w:hAnsi="宋体"/>
                <w:sz w:val="18"/>
                <w:szCs w:val="18"/>
              </w:rPr>
            </w:pPr>
            <w:r>
              <w:rPr>
                <w:rFonts w:ascii="宋体" w:hAnsi="宋体"/>
                <w:sz w:val="18"/>
                <w:szCs w:val="18"/>
              </w:rPr>
              <w:t>2.</w:t>
            </w:r>
            <w:r>
              <w:rPr>
                <w:rFonts w:hint="eastAsia" w:ascii="宋体" w:hAnsi="宋体"/>
                <w:sz w:val="18"/>
                <w:szCs w:val="18"/>
              </w:rPr>
              <w:t>乡村</w:t>
            </w:r>
          </w:p>
          <w:p>
            <w:pPr>
              <w:spacing w:line="240" w:lineRule="exact"/>
              <w:textAlignment w:val="center"/>
              <w:rPr>
                <w:rFonts w:ascii="宋体" w:hAnsi="宋体"/>
                <w:sz w:val="18"/>
                <w:szCs w:val="18"/>
              </w:rPr>
            </w:pPr>
            <w:r>
              <w:rPr>
                <w:rFonts w:ascii="宋体" w:hAnsi="宋体"/>
                <w:sz w:val="18"/>
                <w:szCs w:val="18"/>
              </w:rPr>
              <w:t>二、GDP</w:t>
            </w:r>
          </w:p>
          <w:p>
            <w:pPr>
              <w:spacing w:line="240" w:lineRule="exact"/>
              <w:textAlignment w:val="center"/>
              <w:rPr>
                <w:rFonts w:ascii="宋体" w:hAnsi="宋体"/>
                <w:sz w:val="18"/>
                <w:szCs w:val="18"/>
              </w:rPr>
            </w:pPr>
            <w:r>
              <w:rPr>
                <w:rFonts w:ascii="宋体" w:hAnsi="宋体"/>
                <w:sz w:val="18"/>
                <w:szCs w:val="18"/>
              </w:rPr>
              <w:t>三、单位GDP能耗</w:t>
            </w:r>
          </w:p>
          <w:p>
            <w:pPr>
              <w:spacing w:line="240" w:lineRule="exact"/>
              <w:textAlignment w:val="center"/>
              <w:rPr>
                <w:rFonts w:ascii="宋体" w:hAnsi="宋体"/>
                <w:sz w:val="18"/>
                <w:szCs w:val="18"/>
              </w:rPr>
            </w:pPr>
            <w:r>
              <w:rPr>
                <w:rFonts w:ascii="宋体" w:hAnsi="宋体"/>
                <w:sz w:val="18"/>
                <w:szCs w:val="18"/>
              </w:rPr>
              <w:t>四、规模以上工业单位增加值能耗</w:t>
            </w:r>
          </w:p>
          <w:p>
            <w:pPr>
              <w:spacing w:line="240" w:lineRule="exact"/>
              <w:textAlignment w:val="center"/>
              <w:rPr>
                <w:sz w:val="18"/>
                <w:szCs w:val="18"/>
              </w:rPr>
            </w:pPr>
            <w:r>
              <w:rPr>
                <w:rFonts w:ascii="宋体" w:hAnsi="宋体"/>
                <w:sz w:val="18"/>
                <w:szCs w:val="18"/>
              </w:rPr>
              <w:t>五、单位GDP电耗</w:t>
            </w:r>
          </w:p>
        </w:tc>
        <w:tc>
          <w:tcPr>
            <w:tcW w:w="1211" w:type="dxa"/>
            <w:tcBorders>
              <w:top w:val="single" w:color="auto" w:sz="2" w:space="0"/>
              <w:left w:val="single" w:color="auto" w:sz="2" w:space="0"/>
              <w:bottom w:val="single" w:color="auto" w:sz="8" w:space="0"/>
              <w:right w:val="single" w:color="auto" w:sz="2" w:space="0"/>
            </w:tcBorders>
            <w:vAlign w:val="center"/>
          </w:tcPr>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widowControl/>
              <w:ind w:left="-105" w:leftChars="-50" w:right="-105" w:rightChars="-50"/>
              <w:jc w:val="center"/>
              <w:textAlignment w:val="center"/>
              <w:rPr>
                <w:kern w:val="0"/>
                <w:sz w:val="18"/>
                <w:szCs w:val="18"/>
              </w:rPr>
            </w:pPr>
            <w:r>
              <w:rPr>
                <w:rFonts w:hint="eastAsia"/>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万吨标准煤</w:t>
            </w:r>
          </w:p>
          <w:p>
            <w:pPr>
              <w:spacing w:line="240" w:lineRule="exact"/>
              <w:ind w:left="-105" w:leftChars="-50" w:right="-105" w:rightChars="-50"/>
              <w:jc w:val="center"/>
              <w:textAlignment w:val="center"/>
              <w:rPr>
                <w:kern w:val="0"/>
                <w:sz w:val="18"/>
                <w:szCs w:val="18"/>
              </w:rPr>
            </w:pPr>
            <w:r>
              <w:rPr>
                <w:kern w:val="0"/>
                <w:sz w:val="18"/>
                <w:szCs w:val="18"/>
              </w:rPr>
              <w:t>亿元</w:t>
            </w:r>
          </w:p>
          <w:p>
            <w:pPr>
              <w:spacing w:line="240" w:lineRule="exact"/>
              <w:ind w:left="-105" w:leftChars="-50" w:right="-105" w:rightChars="-50"/>
              <w:jc w:val="center"/>
              <w:textAlignment w:val="center"/>
              <w:rPr>
                <w:kern w:val="0"/>
                <w:sz w:val="18"/>
                <w:szCs w:val="18"/>
              </w:rPr>
            </w:pPr>
            <w:r>
              <w:rPr>
                <w:kern w:val="0"/>
                <w:sz w:val="18"/>
                <w:szCs w:val="18"/>
              </w:rPr>
              <w:t>吨标准煤/万元</w:t>
            </w:r>
          </w:p>
          <w:p>
            <w:pPr>
              <w:spacing w:line="240" w:lineRule="exact"/>
              <w:ind w:left="-105" w:leftChars="-50" w:right="-105" w:rightChars="-50"/>
              <w:jc w:val="center"/>
              <w:textAlignment w:val="center"/>
              <w:rPr>
                <w:kern w:val="0"/>
                <w:sz w:val="18"/>
                <w:szCs w:val="18"/>
              </w:rPr>
            </w:pPr>
            <w:r>
              <w:rPr>
                <w:kern w:val="0"/>
                <w:sz w:val="18"/>
                <w:szCs w:val="18"/>
              </w:rPr>
              <w:t>吨标准煤/万元</w:t>
            </w:r>
          </w:p>
          <w:p>
            <w:pPr>
              <w:spacing w:line="240" w:lineRule="exact"/>
              <w:ind w:left="-105" w:leftChars="-50" w:right="-105" w:rightChars="-50"/>
              <w:jc w:val="center"/>
              <w:textAlignment w:val="center"/>
              <w:rPr>
                <w:kern w:val="0"/>
                <w:sz w:val="18"/>
                <w:szCs w:val="18"/>
              </w:rPr>
            </w:pPr>
            <w:r>
              <w:rPr>
                <w:kern w:val="0"/>
                <w:sz w:val="18"/>
                <w:szCs w:val="18"/>
              </w:rPr>
              <w:t>千瓦时/万元</w:t>
            </w:r>
          </w:p>
        </w:tc>
        <w:tc>
          <w:tcPr>
            <w:tcW w:w="531" w:type="dxa"/>
            <w:tcBorders>
              <w:top w:val="single" w:color="auto" w:sz="2" w:space="0"/>
              <w:left w:val="single" w:color="auto" w:sz="2" w:space="0"/>
              <w:bottom w:val="single" w:color="auto" w:sz="8" w:space="0"/>
              <w:right w:val="nil"/>
            </w:tcBorders>
            <w:vAlign w:val="center"/>
          </w:tcPr>
          <w:p>
            <w:pPr>
              <w:spacing w:line="240" w:lineRule="exact"/>
              <w:jc w:val="center"/>
              <w:textAlignment w:val="center"/>
              <w:rPr>
                <w:sz w:val="18"/>
                <w:szCs w:val="18"/>
              </w:rPr>
            </w:pPr>
            <w:r>
              <w:rPr>
                <w:sz w:val="18"/>
                <w:szCs w:val="18"/>
              </w:rPr>
              <w:t>01</w:t>
            </w:r>
          </w:p>
          <w:p>
            <w:pPr>
              <w:spacing w:line="240" w:lineRule="exact"/>
              <w:jc w:val="center"/>
              <w:textAlignment w:val="center"/>
              <w:rPr>
                <w:sz w:val="18"/>
                <w:szCs w:val="18"/>
              </w:rPr>
            </w:pPr>
            <w:r>
              <w:rPr>
                <w:sz w:val="18"/>
                <w:szCs w:val="18"/>
              </w:rPr>
              <w:t>02</w:t>
            </w:r>
          </w:p>
          <w:p>
            <w:pPr>
              <w:spacing w:line="240" w:lineRule="exact"/>
              <w:jc w:val="center"/>
              <w:textAlignment w:val="center"/>
              <w:rPr>
                <w:sz w:val="18"/>
                <w:szCs w:val="18"/>
              </w:rPr>
            </w:pPr>
            <w:r>
              <w:rPr>
                <w:sz w:val="18"/>
                <w:szCs w:val="18"/>
              </w:rPr>
              <w:t>03</w:t>
            </w:r>
          </w:p>
          <w:p>
            <w:pPr>
              <w:spacing w:line="240" w:lineRule="exact"/>
              <w:jc w:val="center"/>
              <w:textAlignment w:val="center"/>
              <w:rPr>
                <w:sz w:val="18"/>
                <w:szCs w:val="18"/>
              </w:rPr>
            </w:pPr>
            <w:r>
              <w:rPr>
                <w:sz w:val="18"/>
                <w:szCs w:val="18"/>
              </w:rPr>
              <w:t>04</w:t>
            </w:r>
          </w:p>
          <w:p>
            <w:pPr>
              <w:spacing w:line="240" w:lineRule="exact"/>
              <w:jc w:val="center"/>
              <w:textAlignment w:val="center"/>
              <w:rPr>
                <w:sz w:val="18"/>
                <w:szCs w:val="18"/>
              </w:rPr>
            </w:pPr>
            <w:r>
              <w:rPr>
                <w:sz w:val="18"/>
                <w:szCs w:val="18"/>
              </w:rPr>
              <w:t>05</w:t>
            </w:r>
          </w:p>
          <w:p>
            <w:pPr>
              <w:spacing w:line="240" w:lineRule="exact"/>
              <w:jc w:val="center"/>
              <w:textAlignment w:val="center"/>
              <w:rPr>
                <w:sz w:val="18"/>
                <w:szCs w:val="18"/>
              </w:rPr>
            </w:pPr>
            <w:r>
              <w:rPr>
                <w:sz w:val="18"/>
                <w:szCs w:val="18"/>
              </w:rPr>
              <w:t>06</w:t>
            </w:r>
          </w:p>
          <w:p>
            <w:pPr>
              <w:spacing w:line="240" w:lineRule="exact"/>
              <w:jc w:val="center"/>
              <w:textAlignment w:val="center"/>
              <w:rPr>
                <w:sz w:val="18"/>
                <w:szCs w:val="18"/>
              </w:rPr>
            </w:pPr>
            <w:r>
              <w:rPr>
                <w:sz w:val="18"/>
                <w:szCs w:val="18"/>
              </w:rPr>
              <w:t>07</w:t>
            </w:r>
          </w:p>
          <w:p>
            <w:pPr>
              <w:spacing w:line="240" w:lineRule="exact"/>
              <w:jc w:val="center"/>
              <w:textAlignment w:val="center"/>
              <w:rPr>
                <w:sz w:val="18"/>
                <w:szCs w:val="18"/>
              </w:rPr>
            </w:pPr>
            <w:r>
              <w:rPr>
                <w:sz w:val="18"/>
                <w:szCs w:val="18"/>
              </w:rPr>
              <w:t>08</w:t>
            </w:r>
          </w:p>
          <w:p>
            <w:pPr>
              <w:spacing w:line="240" w:lineRule="exact"/>
              <w:jc w:val="center"/>
              <w:textAlignment w:val="center"/>
              <w:rPr>
                <w:sz w:val="18"/>
                <w:szCs w:val="18"/>
              </w:rPr>
            </w:pPr>
            <w:r>
              <w:rPr>
                <w:sz w:val="18"/>
                <w:szCs w:val="18"/>
              </w:rPr>
              <w:t>09</w:t>
            </w:r>
          </w:p>
          <w:p>
            <w:pPr>
              <w:spacing w:line="240" w:lineRule="exact"/>
              <w:jc w:val="center"/>
              <w:textAlignment w:val="center"/>
              <w:rPr>
                <w:sz w:val="18"/>
                <w:szCs w:val="18"/>
              </w:rPr>
            </w:pPr>
            <w:r>
              <w:rPr>
                <w:sz w:val="18"/>
                <w:szCs w:val="18"/>
              </w:rPr>
              <w:t>10</w:t>
            </w:r>
          </w:p>
          <w:p>
            <w:pPr>
              <w:spacing w:line="240" w:lineRule="exact"/>
              <w:jc w:val="center"/>
              <w:textAlignment w:val="center"/>
              <w:rPr>
                <w:sz w:val="18"/>
                <w:szCs w:val="18"/>
              </w:rPr>
            </w:pPr>
            <w:r>
              <w:rPr>
                <w:sz w:val="18"/>
                <w:szCs w:val="18"/>
              </w:rPr>
              <w:t>11</w:t>
            </w:r>
          </w:p>
          <w:p>
            <w:pPr>
              <w:spacing w:line="240" w:lineRule="exact"/>
              <w:jc w:val="center"/>
              <w:textAlignment w:val="center"/>
              <w:rPr>
                <w:sz w:val="18"/>
                <w:szCs w:val="18"/>
              </w:rPr>
            </w:pPr>
            <w:r>
              <w:rPr>
                <w:sz w:val="18"/>
                <w:szCs w:val="18"/>
              </w:rPr>
              <w:t>12</w:t>
            </w:r>
          </w:p>
          <w:p>
            <w:pPr>
              <w:spacing w:line="240" w:lineRule="exact"/>
              <w:jc w:val="center"/>
              <w:textAlignment w:val="center"/>
              <w:rPr>
                <w:sz w:val="18"/>
                <w:szCs w:val="18"/>
              </w:rPr>
            </w:pPr>
            <w:r>
              <w:rPr>
                <w:sz w:val="18"/>
                <w:szCs w:val="18"/>
              </w:rPr>
              <w:t>13</w:t>
            </w:r>
          </w:p>
          <w:p>
            <w:pPr>
              <w:spacing w:line="240" w:lineRule="exact"/>
              <w:jc w:val="center"/>
              <w:textAlignment w:val="center"/>
              <w:rPr>
                <w:sz w:val="18"/>
                <w:szCs w:val="18"/>
              </w:rPr>
            </w:pPr>
            <w:r>
              <w:rPr>
                <w:sz w:val="18"/>
                <w:szCs w:val="18"/>
              </w:rPr>
              <w:t>14</w:t>
            </w:r>
          </w:p>
          <w:p>
            <w:pPr>
              <w:spacing w:line="240" w:lineRule="exact"/>
              <w:jc w:val="center"/>
              <w:textAlignment w:val="center"/>
              <w:rPr>
                <w:sz w:val="18"/>
                <w:szCs w:val="18"/>
              </w:rPr>
            </w:pPr>
            <w:r>
              <w:rPr>
                <w:sz w:val="18"/>
                <w:szCs w:val="18"/>
              </w:rPr>
              <w:t>15</w:t>
            </w:r>
          </w:p>
          <w:p>
            <w:pPr>
              <w:spacing w:line="240" w:lineRule="exact"/>
              <w:jc w:val="center"/>
              <w:textAlignment w:val="center"/>
              <w:rPr>
                <w:sz w:val="18"/>
                <w:szCs w:val="18"/>
              </w:rPr>
            </w:pPr>
            <w:r>
              <w:rPr>
                <w:sz w:val="18"/>
                <w:szCs w:val="18"/>
              </w:rPr>
              <w:t>16</w:t>
            </w:r>
          </w:p>
          <w:p>
            <w:pPr>
              <w:spacing w:line="240" w:lineRule="exact"/>
              <w:jc w:val="center"/>
              <w:textAlignment w:val="center"/>
              <w:rPr>
                <w:sz w:val="18"/>
                <w:szCs w:val="18"/>
              </w:rPr>
            </w:pPr>
            <w:r>
              <w:rPr>
                <w:sz w:val="18"/>
                <w:szCs w:val="18"/>
              </w:rPr>
              <w:t>17</w:t>
            </w:r>
          </w:p>
        </w:tc>
        <w:tc>
          <w:tcPr>
            <w:tcW w:w="814" w:type="dxa"/>
            <w:tcBorders>
              <w:top w:val="single" w:color="auto" w:sz="2" w:space="0"/>
              <w:left w:val="single" w:color="auto" w:sz="2" w:space="0"/>
              <w:bottom w:val="single" w:color="auto" w:sz="8" w:space="0"/>
              <w:right w:val="single" w:color="auto" w:sz="2" w:space="0"/>
            </w:tcBorders>
            <w:vAlign w:val="center"/>
          </w:tcPr>
          <w:p>
            <w:pPr>
              <w:textAlignment w:val="center"/>
              <w:rPr>
                <w:sz w:val="18"/>
                <w:szCs w:val="18"/>
              </w:rPr>
            </w:pPr>
          </w:p>
          <w:p>
            <w:pPr>
              <w:widowControl/>
              <w:jc w:val="left"/>
              <w:textAlignment w:val="center"/>
              <w:rPr>
                <w:sz w:val="18"/>
                <w:szCs w:val="18"/>
              </w:rPr>
            </w:pPr>
          </w:p>
        </w:tc>
        <w:tc>
          <w:tcPr>
            <w:tcW w:w="815" w:type="dxa"/>
            <w:tcBorders>
              <w:top w:val="single" w:color="auto" w:sz="2" w:space="0"/>
              <w:left w:val="single" w:color="auto" w:sz="2" w:space="0"/>
              <w:bottom w:val="single" w:color="auto" w:sz="8" w:space="0"/>
              <w:right w:val="single" w:color="auto" w:sz="2" w:space="0"/>
            </w:tcBorders>
            <w:vAlign w:val="center"/>
          </w:tcPr>
          <w:p>
            <w:pPr>
              <w:textAlignment w:val="center"/>
              <w:rPr>
                <w:sz w:val="18"/>
                <w:szCs w:val="18"/>
              </w:rPr>
            </w:pPr>
          </w:p>
          <w:p>
            <w:pPr>
              <w:widowControl/>
              <w:jc w:val="left"/>
              <w:textAlignment w:val="center"/>
            </w:pPr>
          </w:p>
        </w:tc>
        <w:tc>
          <w:tcPr>
            <w:tcW w:w="815" w:type="dxa"/>
            <w:tcBorders>
              <w:top w:val="single" w:color="auto" w:sz="2" w:space="0"/>
              <w:left w:val="single" w:color="auto" w:sz="2" w:space="0"/>
              <w:bottom w:val="single" w:color="auto" w:sz="8" w:space="0"/>
              <w:right w:val="single" w:color="auto" w:sz="2" w:space="0"/>
            </w:tcBorders>
            <w:vAlign w:val="center"/>
          </w:tcPr>
          <w:p>
            <w:pPr>
              <w:textAlignment w:val="center"/>
              <w:rPr>
                <w:sz w:val="18"/>
                <w:szCs w:val="18"/>
              </w:rPr>
            </w:pPr>
          </w:p>
          <w:p>
            <w:pPr>
              <w:widowControl/>
              <w:jc w:val="left"/>
              <w:textAlignment w:val="center"/>
            </w:pPr>
          </w:p>
        </w:tc>
        <w:tc>
          <w:tcPr>
            <w:tcW w:w="634" w:type="dxa"/>
            <w:tcBorders>
              <w:top w:val="single" w:color="auto" w:sz="2" w:space="0"/>
              <w:left w:val="single" w:color="auto" w:sz="2" w:space="0"/>
              <w:bottom w:val="single" w:color="auto" w:sz="8" w:space="0"/>
              <w:right w:val="single" w:color="auto" w:sz="2" w:space="0"/>
            </w:tcBorders>
            <w:vAlign w:val="center"/>
          </w:tcPr>
          <w:p>
            <w:pPr>
              <w:spacing w:line="236" w:lineRule="exact"/>
              <w:jc w:val="center"/>
              <w:textAlignment w:val="center"/>
              <w:rPr>
                <w:sz w:val="18"/>
                <w:szCs w:val="18"/>
              </w:rPr>
            </w:pPr>
            <w:r>
              <w:rPr>
                <w:sz w:val="18"/>
                <w:szCs w:val="18"/>
              </w:rPr>
              <w:t>100</w:t>
            </w: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widowControl/>
              <w:jc w:val="left"/>
              <w:textAlignment w:val="cente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tc>
        <w:tc>
          <w:tcPr>
            <w:tcW w:w="635" w:type="dxa"/>
            <w:tcBorders>
              <w:top w:val="single" w:color="auto" w:sz="2" w:space="0"/>
              <w:left w:val="single" w:color="auto" w:sz="2" w:space="0"/>
              <w:bottom w:val="single" w:color="auto" w:sz="8" w:space="0"/>
              <w:right w:val="nil"/>
            </w:tcBorders>
            <w:vAlign w:val="center"/>
          </w:tcPr>
          <w:p>
            <w:pPr>
              <w:spacing w:line="236" w:lineRule="exact"/>
              <w:jc w:val="center"/>
              <w:textAlignment w:val="center"/>
              <w:rPr>
                <w:sz w:val="18"/>
                <w:szCs w:val="18"/>
              </w:rPr>
            </w:pPr>
            <w:r>
              <w:rPr>
                <w:sz w:val="18"/>
                <w:szCs w:val="18"/>
              </w:rPr>
              <w:t>100</w:t>
            </w: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widowControl/>
              <w:jc w:val="left"/>
              <w:textAlignment w:val="cente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p>
            <w:pPr>
              <w:spacing w:line="236" w:lineRule="exact"/>
              <w:jc w:val="center"/>
              <w:textAlignment w:val="center"/>
              <w:rPr>
                <w:sz w:val="18"/>
                <w:szCs w:val="18"/>
              </w:rPr>
            </w:pPr>
            <w:r>
              <w:rPr>
                <w:sz w:val="18"/>
                <w:szCs w:val="18"/>
              </w:rPr>
              <w:t>—</w:t>
            </w:r>
          </w:p>
        </w:tc>
      </w:tr>
    </w:tbl>
    <w:p>
      <w:pPr>
        <w:spacing w:line="360" w:lineRule="atLeast"/>
        <w:ind w:right="-40" w:firstLine="424" w:firstLineChars="202"/>
        <w:textAlignment w:val="center"/>
        <w:rPr>
          <w:rFonts w:ascii="宋体" w:hAnsi="宋体"/>
          <w:szCs w:val="21"/>
        </w:rPr>
      </w:pPr>
      <w:r>
        <w:rPr>
          <w:rFonts w:ascii="宋体" w:hAnsi="宋体"/>
          <w:szCs w:val="21"/>
        </w:rPr>
        <w:t>其中</w:t>
      </w:r>
      <w:r>
        <w:rPr>
          <w:rFonts w:hint="eastAsia" w:ascii="宋体" w:hAnsi="宋体"/>
          <w:szCs w:val="21"/>
        </w:rPr>
        <w:t>，</w:t>
      </w:r>
      <w:r>
        <w:rPr>
          <w:rFonts w:ascii="宋体" w:hAnsi="宋体"/>
          <w:szCs w:val="21"/>
        </w:rPr>
        <w:t>万元地区生产总值能耗</w:t>
      </w:r>
      <w:r>
        <w:rPr>
          <w:rFonts w:hint="eastAsia" w:ascii="宋体" w:hAnsi="宋体"/>
          <w:szCs w:val="21"/>
        </w:rPr>
        <w:t>（</w:t>
      </w:r>
      <w:r>
        <w:rPr>
          <w:rFonts w:ascii="宋体" w:hAnsi="宋体"/>
          <w:szCs w:val="21"/>
        </w:rPr>
        <w:t>简称单位GDP能耗</w:t>
      </w:r>
      <w:r>
        <w:rPr>
          <w:rFonts w:hint="eastAsia" w:ascii="宋体" w:hAnsi="宋体"/>
          <w:szCs w:val="21"/>
        </w:rPr>
        <w:t>）</w:t>
      </w:r>
      <w:r>
        <w:rPr>
          <w:rFonts w:ascii="宋体" w:hAnsi="宋体"/>
          <w:szCs w:val="21"/>
        </w:rPr>
        <w:t>及其降低率计算方法</w:t>
      </w:r>
      <w:r>
        <w:rPr>
          <w:rFonts w:hint="eastAsia" w:ascii="宋体" w:hAnsi="宋体"/>
          <w:szCs w:val="21"/>
        </w:rPr>
        <w:t>：</w:t>
      </w:r>
    </w:p>
    <w:p>
      <w:pPr>
        <w:spacing w:line="240" w:lineRule="atLeast"/>
        <w:ind w:left="630" w:leftChars="300"/>
        <w:textAlignment w:val="center"/>
        <w:rPr>
          <w:rFonts w:ascii="宋体" w:hAnsi="宋体"/>
        </w:rPr>
      </w:pPr>
      <m:oMathPara>
        <m:oMathParaPr>
          <m:jc m:val="left"/>
        </m:oMathParaPr>
        <m:oMath>
          <m:r>
            <m:rPr>
              <m:sty m:val="p"/>
            </m:rPr>
            <w:rPr>
              <w:rFonts w:hint="eastAsia" w:ascii="Cambria Math" w:hAnsi="Cambria Math"/>
            </w:rPr>
            <m:t>单位</m:t>
          </m:r>
          <m:r>
            <m:rPr>
              <m:sty m:val="p"/>
            </m:rPr>
            <w:rPr>
              <w:rFonts w:ascii="Cambria Math" w:hAnsi="Cambria Math"/>
            </w:rPr>
            <m:t>GDP能耗=</m:t>
          </m:r>
          <m:f>
            <m:fPr>
              <m:ctrlPr>
                <w:rPr>
                  <w:rFonts w:ascii="Cambria Math" w:hAnsi="Cambria Math"/>
                </w:rPr>
              </m:ctrlPr>
            </m:fPr>
            <m:num>
              <m:r>
                <m:rPr>
                  <m:sty m:val="p"/>
                </m:rPr>
                <w:rPr>
                  <w:rFonts w:hint="eastAsia" w:ascii="Cambria Math" w:hAnsi="Cambria Math"/>
                </w:rPr>
                <m:t>能源消费总量</m:t>
              </m:r>
              <m:ctrlPr>
                <w:rPr>
                  <w:rFonts w:ascii="Cambria Math" w:hAnsi="Cambria Math"/>
                </w:rPr>
              </m:ctrlPr>
            </m:num>
            <m:den>
              <m:r>
                <m:rPr>
                  <m:sty m:val="p"/>
                </m:rPr>
                <w:rPr>
                  <w:rFonts w:ascii="Cambria Math" w:hAnsi="Cambria Math"/>
                </w:rPr>
                <m:t>GDP</m:t>
              </m:r>
              <m:ctrlPr>
                <w:rPr>
                  <w:rFonts w:ascii="Cambria Math" w:hAnsi="Cambria Math"/>
                </w:rPr>
              </m:ctrlPr>
            </m:den>
          </m:f>
        </m:oMath>
      </m:oMathPara>
    </w:p>
    <w:p>
      <w:pPr>
        <w:spacing w:line="240" w:lineRule="atLeast"/>
        <w:ind w:left="630" w:leftChars="300"/>
        <w:textAlignment w:val="center"/>
        <w:rPr>
          <w:rFonts w:ascii="宋体" w:hAnsi="宋体"/>
        </w:rPr>
      </w:pPr>
      <m:oMathPara>
        <m:oMathParaPr>
          <m:jc m:val="left"/>
        </m:oMathParaPr>
        <m:oMath>
          <m:r>
            <m:rPr>
              <m:sty m:val="p"/>
            </m:rPr>
            <w:rPr>
              <w:rFonts w:hint="eastAsia" w:ascii="Cambria Math" w:hAnsi="Cambria Math"/>
            </w:rPr>
            <m:t>单位</m:t>
          </m:r>
          <m:r>
            <m:rPr>
              <m:sty m:val="p"/>
            </m:rPr>
            <w:rPr>
              <w:rFonts w:ascii="Cambria Math" w:hAnsi="Cambria Math"/>
            </w:rPr>
            <m:t>GDP能耗上升或下降</m:t>
          </m:r>
          <m:d>
            <m:dPr>
              <m:ctrlPr>
                <w:rPr>
                  <w:rFonts w:ascii="Cambria Math" w:hAnsi="Cambria Math"/>
                </w:rPr>
              </m:ctrlPr>
            </m:dPr>
            <m:e>
              <m:r>
                <m:rPr>
                  <m:sty m:val="p"/>
                </m:rPr>
                <w:rPr>
                  <w:rFonts w:ascii="Cambria Math" w:hAnsi="Cambria Math"/>
                </w:rPr>
                <m:t>±%</m:t>
              </m:r>
              <m:ctrlPr>
                <w:rPr>
                  <w:rFonts w:ascii="Cambria Math" w:hAnsi="Cambria Math"/>
                </w:rPr>
              </m:ctrlPr>
            </m:e>
          </m:d>
          <m:r>
            <m:rPr>
              <m:sty m:val="p"/>
            </m:rPr>
            <w:rPr>
              <w:rFonts w:ascii="Cambria Math" w:hAnsi="Cambria Math"/>
            </w:rPr>
            <m:t>=</m:t>
          </m:r>
          <m:d>
            <m:dPr>
              <m:ctrlPr>
                <w:rPr>
                  <w:rFonts w:ascii="Cambria Math" w:hAnsi="Cambria Math"/>
                </w:rPr>
              </m:ctrlPr>
            </m:dPr>
            <m:e>
              <m:f>
                <m:fPr>
                  <m:ctrlPr>
                    <w:rPr>
                      <w:rFonts w:ascii="Cambria Math" w:hAnsi="Cambria Math"/>
                    </w:rPr>
                  </m:ctrlPr>
                </m:fPr>
                <m:num>
                  <m:f>
                    <m:fPr>
                      <m:type m:val="lin"/>
                      <m:ctrlPr>
                        <w:rPr>
                          <w:rFonts w:ascii="Cambria Math" w:hAnsi="Cambria Math"/>
                          <w:i/>
                        </w:rPr>
                      </m:ctrlPr>
                    </m:fPr>
                    <m:num>
                      <m:r>
                        <m:rPr>
                          <m:sty m:val="p"/>
                        </m:rPr>
                        <w:rPr>
                          <w:rFonts w:hint="eastAsia" w:ascii="Cambria Math" w:hAnsi="Cambria Math"/>
                        </w:rPr>
                        <m:t>本期</m:t>
                      </m:r>
                      <m:r>
                        <m:rPr>
                          <m:sty m:val="p"/>
                        </m:rPr>
                        <w:rPr>
                          <w:rFonts w:ascii="Cambria Math" w:hAnsi="Cambria Math"/>
                        </w:rPr>
                        <m:t>能源消费总量</m:t>
                      </m:r>
                      <m:ctrlPr>
                        <w:rPr>
                          <w:rFonts w:ascii="Cambria Math" w:hAnsi="Cambria Math"/>
                          <w:i/>
                        </w:rPr>
                      </m:ctrlPr>
                    </m:num>
                    <m:den>
                      <m:r>
                        <m:rPr>
                          <m:sty m:val="p"/>
                        </m:rPr>
                        <w:rPr>
                          <w:rFonts w:hint="eastAsia" w:ascii="Cambria Math" w:hAnsi="Cambria Math"/>
                        </w:rPr>
                        <m:t>本期</m:t>
                      </m:r>
                      <m:r>
                        <m:rPr>
                          <m:sty m:val="p"/>
                        </m:rPr>
                        <w:rPr>
                          <w:rFonts w:ascii="Cambria Math" w:hAnsi="Cambria Math"/>
                        </w:rPr>
                        <m:t>GDP</m:t>
                      </m:r>
                      <m:ctrlPr>
                        <w:rPr>
                          <w:rFonts w:ascii="Cambria Math" w:hAnsi="Cambria Math"/>
                          <w:i/>
                        </w:rPr>
                      </m:ctrlPr>
                    </m:den>
                  </m:f>
                  <m:ctrlPr>
                    <w:rPr>
                      <w:rFonts w:ascii="Cambria Math" w:hAnsi="Cambria Math"/>
                    </w:rPr>
                  </m:ctrlPr>
                </m:num>
                <m:den>
                  <m:f>
                    <m:fPr>
                      <m:type m:val="lin"/>
                      <m:ctrlPr>
                        <w:rPr>
                          <w:rFonts w:ascii="Cambria Math" w:hAnsi="Cambria Math"/>
                          <w:i/>
                        </w:rPr>
                      </m:ctrlPr>
                    </m:fPr>
                    <m:num>
                      <m:r>
                        <m:rPr>
                          <m:sty m:val="p"/>
                        </m:rPr>
                        <w:rPr>
                          <w:rFonts w:hint="eastAsia" w:ascii="Cambria Math" w:hAnsi="Cambria Math"/>
                        </w:rPr>
                        <m:t>上年同期</m:t>
                      </m:r>
                      <m:r>
                        <m:rPr>
                          <m:sty m:val="p"/>
                        </m:rPr>
                        <w:rPr>
                          <w:rFonts w:ascii="Cambria Math" w:hAnsi="Cambria Math"/>
                        </w:rPr>
                        <m:t>能源消费总量</m:t>
                      </m:r>
                      <m:ctrlPr>
                        <w:rPr>
                          <w:rFonts w:ascii="Cambria Math" w:hAnsi="Cambria Math"/>
                          <w:i/>
                        </w:rPr>
                      </m:ctrlPr>
                    </m:num>
                    <m:den>
                      <m:r>
                        <m:rPr>
                          <m:sty m:val="p"/>
                        </m:rPr>
                        <w:rPr>
                          <w:rFonts w:hint="eastAsia" w:ascii="Cambria Math" w:hAnsi="Cambria Math"/>
                        </w:rPr>
                        <m:t>上年同期</m:t>
                      </m:r>
                      <m:r>
                        <m:rPr>
                          <m:sty m:val="p"/>
                        </m:rPr>
                        <w:rPr>
                          <w:rFonts w:ascii="Cambria Math" w:hAnsi="Cambria Math"/>
                        </w:rPr>
                        <m:t>GDP</m:t>
                      </m:r>
                      <m:ctrlPr>
                        <w:rPr>
                          <w:rFonts w:ascii="Cambria Math" w:hAnsi="Cambria Math"/>
                          <w:i/>
                        </w:rPr>
                      </m:ctrlPr>
                    </m:den>
                  </m:f>
                  <m:ctrlPr>
                    <w:rPr>
                      <w:rFonts w:ascii="Cambria Math" w:hAnsi="Cambria Math"/>
                    </w:rPr>
                  </m:ctrlPr>
                </m:den>
              </m:f>
              <m:r>
                <w:rPr>
                  <w:rFonts w:ascii="Cambria Math" w:hAnsi="Cambria Math"/>
                </w:rPr>
                <m:t>-1</m:t>
              </m:r>
              <m:ctrlPr>
                <w:rPr>
                  <w:rFonts w:ascii="Cambria Math" w:hAnsi="Cambria Math"/>
                  <w:i/>
                </w:rPr>
              </m:ctrlPr>
            </m:e>
          </m:d>
          <m:r>
            <w:rPr>
              <w:rFonts w:ascii="Cambria Math" w:hAnsi="Cambria Math"/>
            </w:rPr>
            <m:t>×100%</m:t>
          </m:r>
        </m:oMath>
      </m:oMathPara>
    </w:p>
    <w:p>
      <w:pPr>
        <w:ind w:left="2993" w:leftChars="1425"/>
        <w:textAlignment w:val="center"/>
        <w:rPr>
          <w:rFonts w:ascii="宋体" w:hAnsi="宋体"/>
        </w:rPr>
      </w:pPr>
      <m:oMathPara>
        <m:oMath>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hint="eastAsia" w:ascii="Cambria Math" w:hAnsi="Cambria Math"/>
                    </w:rPr>
                    <m:t>本期</m:t>
                  </m:r>
                  <m:r>
                    <m:rPr>
                      <m:sty m:val="p"/>
                    </m:rPr>
                    <w:rPr>
                      <w:rFonts w:ascii="Cambria Math" w:hAnsi="Cambria Math"/>
                    </w:rPr>
                    <m:t>能源消费总量</m:t>
                  </m:r>
                  <m:ctrlPr>
                    <w:rPr>
                      <w:rFonts w:ascii="Cambria Math" w:hAnsi="Cambria Math"/>
                    </w:rPr>
                  </m:ctrlPr>
                </m:num>
                <m:den>
                  <m:r>
                    <m:rPr>
                      <m:sty m:val="p"/>
                    </m:rPr>
                    <w:rPr>
                      <w:rFonts w:hint="eastAsia" w:ascii="Cambria Math" w:hAnsi="Cambria Math"/>
                    </w:rPr>
                    <m:t>上年同期能源消费总量</m:t>
                  </m:r>
                  <m:ctrlPr>
                    <w:rPr>
                      <w:rFonts w:ascii="Cambria Math" w:hAnsi="Cambria Math"/>
                    </w:rPr>
                  </m:ctrlPr>
                </m:den>
              </m:f>
              <m:r>
                <w:rPr>
                  <w:rFonts w:ascii="Cambria Math" w:hAnsi="Cambria Math"/>
                </w:rPr>
                <m:t>÷</m:t>
              </m:r>
              <m:f>
                <m:fPr>
                  <m:ctrlPr>
                    <w:rPr>
                      <w:rFonts w:ascii="Cambria Math" w:hAnsi="Cambria Math"/>
                      <w:i/>
                    </w:rPr>
                  </m:ctrlPr>
                </m:fPr>
                <m:num>
                  <m:r>
                    <m:rPr>
                      <m:sty m:val="p"/>
                    </m:rPr>
                    <w:rPr>
                      <w:rFonts w:hint="eastAsia" w:ascii="Cambria Math" w:hAnsi="Cambria Math"/>
                    </w:rPr>
                    <m:t>本期</m:t>
                  </m:r>
                  <m:r>
                    <m:rPr>
                      <m:sty m:val="p"/>
                    </m:rPr>
                    <w:rPr>
                      <w:rFonts w:ascii="Cambria Math" w:hAnsi="Cambria Math"/>
                    </w:rPr>
                    <m:t>GDP</m:t>
                  </m:r>
                  <m:ctrlPr>
                    <w:rPr>
                      <w:rFonts w:ascii="Cambria Math" w:hAnsi="Cambria Math"/>
                      <w:i/>
                    </w:rPr>
                  </m:ctrlPr>
                </m:num>
                <m:den>
                  <m:r>
                    <m:rPr>
                      <m:sty m:val="p"/>
                    </m:rPr>
                    <w:rPr>
                      <w:rFonts w:hint="eastAsia" w:ascii="Cambria Math" w:hAnsi="Cambria Math"/>
                    </w:rPr>
                    <m:t>上年同期</m:t>
                  </m:r>
                  <m:r>
                    <m:rPr>
                      <m:sty m:val="p"/>
                    </m:rPr>
                    <w:rPr>
                      <w:rFonts w:ascii="Cambria Math" w:hAnsi="Cambria Math"/>
                    </w:rPr>
                    <m:t>GDP</m:t>
                  </m:r>
                  <m:ctrlPr>
                    <w:rPr>
                      <w:rFonts w:ascii="Cambria Math" w:hAnsi="Cambria Math"/>
                      <w:i/>
                    </w:rPr>
                  </m:ctrlPr>
                </m:den>
              </m:f>
              <m:r>
                <w:rPr>
                  <w:rFonts w:ascii="Cambria Math" w:hAnsi="Cambria Math"/>
                </w:rPr>
                <m:t>-1</m:t>
              </m:r>
              <m:ctrlPr>
                <w:rPr>
                  <w:rFonts w:ascii="Cambria Math" w:hAnsi="Cambria Math"/>
                  <w:i/>
                </w:rPr>
              </m:ctrlPr>
            </m:e>
          </m:d>
          <m:r>
            <w:rPr>
              <w:rFonts w:ascii="Cambria Math" w:hAnsi="Cambria Math"/>
            </w:rPr>
            <m:t>×100%</m:t>
          </m:r>
        </m:oMath>
      </m:oMathPara>
    </w:p>
    <w:p>
      <w:pPr>
        <w:ind w:left="1890" w:leftChars="900"/>
        <w:textAlignment w:val="center"/>
        <w:rPr>
          <w:rFonts w:ascii="宋体" w:hAnsi="宋体"/>
        </w:rPr>
      </w:pPr>
      <m:oMathPara>
        <m:oMath>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hint="eastAsia" w:ascii="Cambria Math" w:hAnsi="Cambria Math"/>
                    </w:rPr>
                    <m:t>本期</m:t>
                  </m:r>
                  <m:r>
                    <m:rPr>
                      <m:sty m:val="p"/>
                    </m:rPr>
                    <w:rPr>
                      <w:rFonts w:ascii="Cambria Math" w:hAnsi="Cambria Math"/>
                    </w:rPr>
                    <m:t>能源消费总量</m:t>
                  </m:r>
                  <m:r>
                    <m:rPr>
                      <m:sty m:val="p"/>
                    </m:rPr>
                    <w:rPr>
                      <w:rFonts w:hint="eastAsia" w:ascii="Cambria Math" w:hAnsi="Cambria Math"/>
                    </w:rPr>
                    <m:t>发展速度</m:t>
                  </m:r>
                  <m:ctrlPr>
                    <w:rPr>
                      <w:rFonts w:ascii="Cambria Math" w:hAnsi="Cambria Math"/>
                    </w:rPr>
                  </m:ctrlPr>
                </m:num>
                <m:den>
                  <m:r>
                    <m:rPr>
                      <m:sty m:val="p"/>
                    </m:rPr>
                    <w:rPr>
                      <w:rFonts w:hint="eastAsia" w:ascii="Cambria Math" w:hAnsi="Cambria Math"/>
                    </w:rPr>
                    <m:t>本期</m:t>
                  </m:r>
                  <m:r>
                    <m:rPr>
                      <m:sty m:val="p"/>
                    </m:rPr>
                    <w:rPr>
                      <w:rFonts w:ascii="Cambria Math" w:hAnsi="Cambria Math"/>
                    </w:rPr>
                    <m:t>GDP</m:t>
                  </m:r>
                  <m:r>
                    <m:rPr>
                      <m:sty m:val="p"/>
                    </m:rPr>
                    <w:rPr>
                      <w:rFonts w:hint="eastAsia" w:ascii="Cambria Math" w:hAnsi="Cambria Math"/>
                    </w:rPr>
                    <m:t>发展</m:t>
                  </m:r>
                  <m:r>
                    <m:rPr>
                      <m:sty m:val="p"/>
                    </m:rPr>
                    <w:rPr>
                      <w:rFonts w:ascii="Cambria Math" w:hAnsi="Cambria Math"/>
                    </w:rPr>
                    <m:t>速度</m:t>
                  </m:r>
                  <m:ctrlPr>
                    <w:rPr>
                      <w:rFonts w:ascii="Cambria Math" w:hAnsi="Cambria Math"/>
                    </w:rPr>
                  </m:ctrlPr>
                </m:den>
              </m:f>
              <m:r>
                <w:rPr>
                  <w:rFonts w:ascii="Cambria Math" w:hAnsi="Cambria Math"/>
                </w:rPr>
                <m:t>-1</m:t>
              </m:r>
              <m:ctrlPr>
                <w:rPr>
                  <w:rFonts w:ascii="Cambria Math" w:hAnsi="Cambria Math"/>
                  <w:i/>
                </w:rPr>
              </m:ctrlPr>
            </m:e>
          </m:d>
          <m:r>
            <w:rPr>
              <w:rFonts w:ascii="Cambria Math" w:hAnsi="Cambria Math"/>
            </w:rPr>
            <m:t>×100%</m:t>
          </m:r>
        </m:oMath>
      </m:oMathPara>
    </w:p>
    <w:p>
      <w:pPr>
        <w:pStyle w:val="9"/>
        <w:spacing w:line="360" w:lineRule="exact"/>
        <w:ind w:right="0" w:firstLine="420" w:firstLineChars="200"/>
        <w:textAlignment w:val="center"/>
        <w:rPr>
          <w:szCs w:val="21"/>
        </w:rPr>
      </w:pPr>
      <w:r>
        <w:rPr>
          <w:szCs w:val="21"/>
        </w:rPr>
        <w:t>计算能源消费总量发展速度和GDP发展速度时，两年的能源消费总量和GDP均使用2位小数；计算单位GDP能耗上升或下降（±%）时，两个发展速度均使用</w:t>
      </w:r>
      <w:r>
        <w:rPr>
          <w:rFonts w:hint="eastAsia"/>
          <w:szCs w:val="21"/>
        </w:rPr>
        <w:t>2</w:t>
      </w:r>
      <w:r>
        <w:rPr>
          <w:szCs w:val="21"/>
        </w:rPr>
        <w:t>位小数；单位GDP能耗上升或下降（±%）保留</w:t>
      </w:r>
      <w:r>
        <w:rPr>
          <w:rFonts w:hint="eastAsia"/>
          <w:szCs w:val="21"/>
        </w:rPr>
        <w:t>2</w:t>
      </w:r>
      <w:r>
        <w:rPr>
          <w:szCs w:val="21"/>
        </w:rPr>
        <w:t>位小数</w:t>
      </w:r>
      <w:r>
        <w:rPr>
          <w:rFonts w:hint="eastAsia"/>
          <w:szCs w:val="21"/>
        </w:rPr>
        <w:t>对外提供；</w:t>
      </w:r>
      <w:r>
        <w:rPr>
          <w:szCs w:val="21"/>
        </w:rPr>
        <w:t>规模以上工业单位增加值能耗和单位GDP电耗</w:t>
      </w:r>
      <w:r>
        <w:rPr>
          <w:rFonts w:hint="eastAsia"/>
          <w:szCs w:val="21"/>
        </w:rPr>
        <w:t>上升或下降（±%）同上。</w:t>
      </w:r>
    </w:p>
    <w:p>
      <w:pPr>
        <w:pStyle w:val="9"/>
        <w:spacing w:line="360" w:lineRule="exact"/>
        <w:ind w:right="0" w:firstLine="420" w:firstLineChars="200"/>
        <w:textAlignment w:val="center"/>
        <w:rPr>
          <w:rFonts w:ascii="Times New Roman" w:hAnsi="Times New Roman"/>
          <w:szCs w:val="21"/>
        </w:rPr>
      </w:pPr>
      <w:r>
        <w:rPr>
          <w:szCs w:val="21"/>
        </w:rPr>
        <w:t>2.相</w:t>
      </w:r>
      <w:r>
        <w:rPr>
          <w:rFonts w:ascii="Times New Roman" w:hAnsi="Times New Roman"/>
          <w:szCs w:val="21"/>
        </w:rPr>
        <w:t>关基础资料</w:t>
      </w:r>
    </w:p>
    <w:p>
      <w:pPr>
        <w:pStyle w:val="9"/>
        <w:spacing w:line="360" w:lineRule="exact"/>
        <w:ind w:right="0" w:firstLine="420" w:firstLineChars="200"/>
        <w:textAlignment w:val="center"/>
        <w:rPr>
          <w:rFonts w:ascii="Times New Roman" w:hAnsi="Times New Roman"/>
          <w:szCs w:val="21"/>
        </w:rPr>
      </w:pPr>
      <w:r>
        <w:rPr>
          <w:rFonts w:hint="eastAsia" w:ascii="Times New Roman" w:hAnsi="Times New Roman"/>
          <w:szCs w:val="21"/>
        </w:rPr>
        <w:t>（略）</w:t>
      </w:r>
    </w:p>
    <w:p>
      <w:pPr>
        <w:pStyle w:val="9"/>
        <w:spacing w:line="240" w:lineRule="auto"/>
        <w:ind w:right="0" w:firstLine="420" w:firstLineChars="200"/>
        <w:jc w:val="both"/>
        <w:rPr>
          <w:rFonts w:cs="宋体"/>
        </w:rPr>
      </w:pPr>
    </w:p>
    <w:sectPr>
      <w:pgSz w:w="11906" w:h="16838"/>
      <w:pgMar w:top="1418" w:right="1247" w:bottom="1247" w:left="1247" w:header="851" w:footer="992"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汉仪书宋一简">
    <w:altName w:val="宋体"/>
    <w:panose1 w:val="02010609000101010101"/>
    <w:charset w:val="86"/>
    <w:family w:val="modern"/>
    <w:pitch w:val="default"/>
    <w:sig w:usb0="00000000" w:usb1="00000000" w:usb2="00000012"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pPr>
      <w:r>
        <w:rPr>
          <w:rStyle w:val="24"/>
        </w:rPr>
        <w:footnoteRef/>
      </w:r>
      <w:r>
        <w:t xml:space="preserve"> </w:t>
      </w:r>
      <w:r>
        <w:rPr>
          <w:rFonts w:hint="eastAsia"/>
        </w:rPr>
        <w:t>注</w:t>
      </w:r>
      <w:r>
        <w:t>：</w:t>
      </w:r>
      <w:r>
        <w:rPr>
          <w:rFonts w:hint="eastAsia"/>
        </w:rPr>
        <w:t>标</w:t>
      </w:r>
      <w:r>
        <w:rPr>
          <w:rFonts w:hint="eastAsia" w:ascii="宋体" w:hAnsi="宋体"/>
        </w:rPr>
        <w:t>★的为“能源购进、消费与库存”（205-1表）中包含</w:t>
      </w:r>
      <w:r>
        <w:rPr>
          <w:rFonts w:ascii="宋体" w:hAnsi="宋体"/>
        </w:rPr>
        <w:t>的</w:t>
      </w:r>
      <w:r>
        <w:rPr>
          <w:rFonts w:hint="eastAsia" w:ascii="宋体" w:hAnsi="宋体"/>
        </w:rPr>
        <w:t>指标</w:t>
      </w:r>
      <w:r>
        <w:rPr>
          <w:rFonts w:ascii="宋体" w:hAnsi="宋体"/>
        </w:rPr>
        <w:t>。</w:t>
      </w:r>
    </w:p>
  </w:footnote>
  <w:footnote w:id="1">
    <w:p>
      <w:pPr>
        <w:pStyle w:val="15"/>
      </w:pPr>
      <w:r>
        <w:rPr>
          <w:rStyle w:val="24"/>
        </w:rPr>
        <w:footnoteRef/>
      </w:r>
      <w:r>
        <w:t xml:space="preserve"> </w:t>
      </w:r>
      <w:r>
        <w:rPr>
          <w:rFonts w:hint="eastAsia"/>
        </w:rPr>
        <w:t>注</w:t>
      </w:r>
      <w:r>
        <w:t>：</w:t>
      </w:r>
      <w:r>
        <w:rPr>
          <w:rFonts w:hint="eastAsia"/>
        </w:rPr>
        <w:t>“能源购进、消费与库存”（</w:t>
      </w:r>
      <w:r>
        <w:rPr>
          <w:rFonts w:hint="eastAsia" w:ascii="宋体" w:hAnsi="宋体" w:cs="宋体"/>
        </w:rPr>
        <w:t>205-1</w:t>
      </w:r>
      <w:r>
        <w:rPr>
          <w:rFonts w:hint="eastAsia"/>
        </w:rPr>
        <w:t>表）中</w:t>
      </w:r>
      <w:r>
        <w:t>只填报</w:t>
      </w:r>
      <w:r>
        <w:rPr>
          <w:rFonts w:hint="eastAsia"/>
        </w:rPr>
        <w:t>属于“</w:t>
      </w:r>
      <w:r>
        <w:t>工业生产消费</w:t>
      </w:r>
      <w:r>
        <w:rPr>
          <w:rFonts w:hint="eastAsia"/>
        </w:rPr>
        <w:t>”的“</w:t>
      </w:r>
      <w:r>
        <w:t>运输工具能源消费量</w:t>
      </w:r>
      <w:r>
        <w:rPr>
          <w:rFonts w:hint="eastAsia"/>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pPr>
    <w:r>
      <w:pict>
        <v:shape id="文本框 1" o:spid="_x0000_s2084" o:spt="202" type="#_x0000_t202" style="position:absolute;left:0pt;margin-top:0.3pt;height:14.15pt;width:28.35pt;mso-position-horizontal:right;mso-position-horizontal-relative:margin;z-index:251659264;mso-width-relative:page;mso-height-relative:page;" filled="f" stroked="f" coordsize="21600,21600">
          <v:path/>
          <v:fill on="f" focussize="0,0"/>
          <v:stroke on="f" joinstyle="miter"/>
          <v:imagedata o:title=""/>
          <o:lock v:ext="edit"/>
          <v:textbox inset="0mm,0mm,0mm,0mm">
            <w:txbxContent>
              <w:p>
                <w:pPr>
                  <w:pStyle w:val="14"/>
                  <w:pBdr>
                    <w:bottom w:val="none" w:color="auto" w:sz="0" w:space="0"/>
                  </w:pBdr>
                  <w:jc w:val="right"/>
                  <w:rPr>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- 79 -</w:t>
                </w:r>
                <w:r>
                  <w:rPr>
                    <w:rFonts w:hint="eastAsia"/>
                    <w:sz w:val="22"/>
                    <w:szCs w:val="22"/>
                  </w:rPr>
                  <w:fldChar w:fldCharType="end"/>
                </w:r>
              </w:p>
            </w:txbxContent>
          </v:textbox>
        </v:shape>
      </w:pict>
    </w:r>
    <w:r>
      <w:rPr>
        <w:rFonts w:hint="eastAsia"/>
      </w:rPr>
      <w:t>福建省能源制度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pPr>
    <w:r>
      <w:pict>
        <v:shape id="_x0000_s2096" o:spid="_x0000_s2096" o:spt="202" type="#_x0000_t202" style="position:absolute;left:0pt;margin-top:0.3pt;height:14.15pt;width:28.35pt;mso-position-horizontal:left;mso-position-horizontal-relative:margin;z-index:251663360;mso-width-relative:page;mso-height-relative:page;" filled="f" stroked="f" coordsize="21600,21600">
          <v:path/>
          <v:fill on="f" focussize="0,0"/>
          <v:stroke on="f" joinstyle="miter"/>
          <v:imagedata o:title=""/>
          <o:lock v:ext="edit"/>
          <v:textbox inset="0mm,0mm,0mm,0mm">
            <w:txbxContent>
              <w:p>
                <w:pPr>
                  <w:pStyle w:val="14"/>
                  <w:pBdr>
                    <w:bottom w:val="none" w:color="auto" w:sz="0" w:space="0"/>
                  </w:pBdr>
                  <w:jc w:val="left"/>
                  <w:rPr>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- 80 -</w:t>
                </w:r>
                <w:r>
                  <w:rPr>
                    <w:rFonts w:hint="eastAsia"/>
                    <w:sz w:val="22"/>
                    <w:szCs w:val="22"/>
                  </w:rPr>
                  <w:fldChar w:fldCharType="end"/>
                </w:r>
              </w:p>
            </w:txbxContent>
          </v:textbox>
        </v:shape>
      </w:pict>
    </w:r>
    <w:r>
      <w:rPr>
        <w:rFonts w:hint="eastAsia"/>
      </w:rPr>
      <w:t>福建省能源制度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4083D"/>
    <w:multiLevelType w:val="singleLevel"/>
    <w:tmpl w:val="92B4083D"/>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attachedTemplate r:id="rId1"/>
  <w:revisionView w:markup="0"/>
  <w:documentProtection w:enforcement="0"/>
  <w:defaultTabStop w:val="50"/>
  <w:evenAndOddHeaders w:val="1"/>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2"/>
  </w:compat>
  <w:rsids>
    <w:rsidRoot w:val="00CC24B1"/>
    <w:rsid w:val="00006B07"/>
    <w:rsid w:val="00020A5C"/>
    <w:rsid w:val="000220A3"/>
    <w:rsid w:val="00056808"/>
    <w:rsid w:val="00066560"/>
    <w:rsid w:val="000747F3"/>
    <w:rsid w:val="00077AE4"/>
    <w:rsid w:val="0008109C"/>
    <w:rsid w:val="00082FDB"/>
    <w:rsid w:val="00083F8C"/>
    <w:rsid w:val="00084A3E"/>
    <w:rsid w:val="000B0405"/>
    <w:rsid w:val="000B677F"/>
    <w:rsid w:val="000C1AA6"/>
    <w:rsid w:val="000C4EAE"/>
    <w:rsid w:val="000C5DED"/>
    <w:rsid w:val="000D204A"/>
    <w:rsid w:val="000E0D8C"/>
    <w:rsid w:val="000E5DBA"/>
    <w:rsid w:val="000E7364"/>
    <w:rsid w:val="000F0D75"/>
    <w:rsid w:val="000F33F9"/>
    <w:rsid w:val="00100F9F"/>
    <w:rsid w:val="00101BFF"/>
    <w:rsid w:val="00110E74"/>
    <w:rsid w:val="00111CF8"/>
    <w:rsid w:val="00111DDD"/>
    <w:rsid w:val="0011719D"/>
    <w:rsid w:val="00124F0F"/>
    <w:rsid w:val="001258F2"/>
    <w:rsid w:val="00134B68"/>
    <w:rsid w:val="00140E02"/>
    <w:rsid w:val="0014667E"/>
    <w:rsid w:val="00147A31"/>
    <w:rsid w:val="001566F0"/>
    <w:rsid w:val="001707F5"/>
    <w:rsid w:val="001770FB"/>
    <w:rsid w:val="00183E3B"/>
    <w:rsid w:val="0018555F"/>
    <w:rsid w:val="001A395B"/>
    <w:rsid w:val="001C0B01"/>
    <w:rsid w:val="001D09C2"/>
    <w:rsid w:val="001D1238"/>
    <w:rsid w:val="001E56C6"/>
    <w:rsid w:val="001E57C4"/>
    <w:rsid w:val="001E6B61"/>
    <w:rsid w:val="0020344E"/>
    <w:rsid w:val="00222C2B"/>
    <w:rsid w:val="00225EAC"/>
    <w:rsid w:val="00225EFD"/>
    <w:rsid w:val="00231C37"/>
    <w:rsid w:val="002321BF"/>
    <w:rsid w:val="002359CD"/>
    <w:rsid w:val="0024403F"/>
    <w:rsid w:val="00251BE2"/>
    <w:rsid w:val="002564E6"/>
    <w:rsid w:val="002608B7"/>
    <w:rsid w:val="00275E97"/>
    <w:rsid w:val="00281591"/>
    <w:rsid w:val="002933EA"/>
    <w:rsid w:val="002A0F74"/>
    <w:rsid w:val="002A657A"/>
    <w:rsid w:val="002B29F5"/>
    <w:rsid w:val="002E1082"/>
    <w:rsid w:val="002E6286"/>
    <w:rsid w:val="002E63D2"/>
    <w:rsid w:val="002F4E7F"/>
    <w:rsid w:val="00301271"/>
    <w:rsid w:val="003055BF"/>
    <w:rsid w:val="003132C4"/>
    <w:rsid w:val="003222E8"/>
    <w:rsid w:val="00330C36"/>
    <w:rsid w:val="003323F4"/>
    <w:rsid w:val="00333A3C"/>
    <w:rsid w:val="00334462"/>
    <w:rsid w:val="003370AF"/>
    <w:rsid w:val="003468DC"/>
    <w:rsid w:val="00350C2E"/>
    <w:rsid w:val="00370BE8"/>
    <w:rsid w:val="0039738E"/>
    <w:rsid w:val="003A1C19"/>
    <w:rsid w:val="003A42F4"/>
    <w:rsid w:val="003C42E8"/>
    <w:rsid w:val="003D538D"/>
    <w:rsid w:val="003E3C6E"/>
    <w:rsid w:val="003E45C2"/>
    <w:rsid w:val="003E568B"/>
    <w:rsid w:val="0040594D"/>
    <w:rsid w:val="0041233B"/>
    <w:rsid w:val="00414AD6"/>
    <w:rsid w:val="004227C3"/>
    <w:rsid w:val="00425F90"/>
    <w:rsid w:val="00436717"/>
    <w:rsid w:val="00436A16"/>
    <w:rsid w:val="00445AF5"/>
    <w:rsid w:val="00451D8F"/>
    <w:rsid w:val="00457725"/>
    <w:rsid w:val="00461316"/>
    <w:rsid w:val="004668BA"/>
    <w:rsid w:val="00473369"/>
    <w:rsid w:val="0047583C"/>
    <w:rsid w:val="00477E19"/>
    <w:rsid w:val="00481D7D"/>
    <w:rsid w:val="004828AA"/>
    <w:rsid w:val="00487632"/>
    <w:rsid w:val="00496A2A"/>
    <w:rsid w:val="004A5B0C"/>
    <w:rsid w:val="004B19D4"/>
    <w:rsid w:val="004B5C7E"/>
    <w:rsid w:val="004D0D61"/>
    <w:rsid w:val="004F0906"/>
    <w:rsid w:val="004F1444"/>
    <w:rsid w:val="004F5874"/>
    <w:rsid w:val="00505690"/>
    <w:rsid w:val="00506C11"/>
    <w:rsid w:val="00531E82"/>
    <w:rsid w:val="005362DD"/>
    <w:rsid w:val="00542AA4"/>
    <w:rsid w:val="0054545E"/>
    <w:rsid w:val="00550879"/>
    <w:rsid w:val="00553774"/>
    <w:rsid w:val="005644CD"/>
    <w:rsid w:val="00565185"/>
    <w:rsid w:val="005769DA"/>
    <w:rsid w:val="00580BEE"/>
    <w:rsid w:val="0058505C"/>
    <w:rsid w:val="005908D3"/>
    <w:rsid w:val="00593E58"/>
    <w:rsid w:val="005A4571"/>
    <w:rsid w:val="005B5409"/>
    <w:rsid w:val="005C0776"/>
    <w:rsid w:val="005D4C04"/>
    <w:rsid w:val="005D60BF"/>
    <w:rsid w:val="005F4FF8"/>
    <w:rsid w:val="00600AB1"/>
    <w:rsid w:val="006153CB"/>
    <w:rsid w:val="0062487E"/>
    <w:rsid w:val="00634DC5"/>
    <w:rsid w:val="0064550C"/>
    <w:rsid w:val="006528D6"/>
    <w:rsid w:val="0066191F"/>
    <w:rsid w:val="00682299"/>
    <w:rsid w:val="006848C8"/>
    <w:rsid w:val="00686D9F"/>
    <w:rsid w:val="00697091"/>
    <w:rsid w:val="006A220A"/>
    <w:rsid w:val="006B1A62"/>
    <w:rsid w:val="006B47CA"/>
    <w:rsid w:val="006B78A7"/>
    <w:rsid w:val="006C6216"/>
    <w:rsid w:val="006D0F8E"/>
    <w:rsid w:val="006F704A"/>
    <w:rsid w:val="007038F5"/>
    <w:rsid w:val="007066CC"/>
    <w:rsid w:val="007125F7"/>
    <w:rsid w:val="007166F3"/>
    <w:rsid w:val="0071768E"/>
    <w:rsid w:val="00720F94"/>
    <w:rsid w:val="007221B3"/>
    <w:rsid w:val="00723A39"/>
    <w:rsid w:val="0073719C"/>
    <w:rsid w:val="00753A32"/>
    <w:rsid w:val="00764003"/>
    <w:rsid w:val="007867E3"/>
    <w:rsid w:val="007901FD"/>
    <w:rsid w:val="00792892"/>
    <w:rsid w:val="00792C30"/>
    <w:rsid w:val="007931F9"/>
    <w:rsid w:val="00795811"/>
    <w:rsid w:val="007B32FF"/>
    <w:rsid w:val="007C0010"/>
    <w:rsid w:val="007E1DDB"/>
    <w:rsid w:val="007E4742"/>
    <w:rsid w:val="007E6CCB"/>
    <w:rsid w:val="00800713"/>
    <w:rsid w:val="008028C1"/>
    <w:rsid w:val="008038AD"/>
    <w:rsid w:val="00806A2A"/>
    <w:rsid w:val="0080773F"/>
    <w:rsid w:val="00807783"/>
    <w:rsid w:val="00810C03"/>
    <w:rsid w:val="008246C2"/>
    <w:rsid w:val="00834DC7"/>
    <w:rsid w:val="00845AFA"/>
    <w:rsid w:val="00845D71"/>
    <w:rsid w:val="00846AF4"/>
    <w:rsid w:val="008643A4"/>
    <w:rsid w:val="00873A22"/>
    <w:rsid w:val="00894B11"/>
    <w:rsid w:val="008A40B2"/>
    <w:rsid w:val="008A7F1E"/>
    <w:rsid w:val="008D07E3"/>
    <w:rsid w:val="008D71F0"/>
    <w:rsid w:val="008E680C"/>
    <w:rsid w:val="008E7E33"/>
    <w:rsid w:val="008F185E"/>
    <w:rsid w:val="008F2342"/>
    <w:rsid w:val="008F32FF"/>
    <w:rsid w:val="008F3C54"/>
    <w:rsid w:val="008F79CF"/>
    <w:rsid w:val="0092448E"/>
    <w:rsid w:val="00925760"/>
    <w:rsid w:val="00931175"/>
    <w:rsid w:val="00944EF2"/>
    <w:rsid w:val="009475F8"/>
    <w:rsid w:val="009615DC"/>
    <w:rsid w:val="00966074"/>
    <w:rsid w:val="00976FCC"/>
    <w:rsid w:val="0099275D"/>
    <w:rsid w:val="009937CF"/>
    <w:rsid w:val="009977B7"/>
    <w:rsid w:val="009A62FD"/>
    <w:rsid w:val="009B6975"/>
    <w:rsid w:val="009C3DAD"/>
    <w:rsid w:val="009F0369"/>
    <w:rsid w:val="00A0380C"/>
    <w:rsid w:val="00A04904"/>
    <w:rsid w:val="00A0552F"/>
    <w:rsid w:val="00A0607B"/>
    <w:rsid w:val="00A23D70"/>
    <w:rsid w:val="00A34DDB"/>
    <w:rsid w:val="00A3733D"/>
    <w:rsid w:val="00A462B1"/>
    <w:rsid w:val="00A47415"/>
    <w:rsid w:val="00A506DF"/>
    <w:rsid w:val="00A52F78"/>
    <w:rsid w:val="00A60C54"/>
    <w:rsid w:val="00A6162B"/>
    <w:rsid w:val="00A62F27"/>
    <w:rsid w:val="00A645DD"/>
    <w:rsid w:val="00A81D1A"/>
    <w:rsid w:val="00AA7CD7"/>
    <w:rsid w:val="00AB00E1"/>
    <w:rsid w:val="00AB29FC"/>
    <w:rsid w:val="00AB5D0D"/>
    <w:rsid w:val="00AC14EF"/>
    <w:rsid w:val="00AE0CA0"/>
    <w:rsid w:val="00AE4C5D"/>
    <w:rsid w:val="00AE603D"/>
    <w:rsid w:val="00AF299F"/>
    <w:rsid w:val="00B00DA6"/>
    <w:rsid w:val="00B04009"/>
    <w:rsid w:val="00B0605A"/>
    <w:rsid w:val="00B074EF"/>
    <w:rsid w:val="00B127B6"/>
    <w:rsid w:val="00B132AC"/>
    <w:rsid w:val="00B17A1F"/>
    <w:rsid w:val="00B27CC9"/>
    <w:rsid w:val="00B42F63"/>
    <w:rsid w:val="00B45BFD"/>
    <w:rsid w:val="00B519D8"/>
    <w:rsid w:val="00B604DA"/>
    <w:rsid w:val="00B67A3D"/>
    <w:rsid w:val="00B725A4"/>
    <w:rsid w:val="00B73CA0"/>
    <w:rsid w:val="00B75B0A"/>
    <w:rsid w:val="00B82674"/>
    <w:rsid w:val="00BA4174"/>
    <w:rsid w:val="00BA4C9A"/>
    <w:rsid w:val="00BB4A28"/>
    <w:rsid w:val="00BB7878"/>
    <w:rsid w:val="00BB7CBA"/>
    <w:rsid w:val="00BC3C1B"/>
    <w:rsid w:val="00BD6801"/>
    <w:rsid w:val="00BD78E9"/>
    <w:rsid w:val="00BE02AD"/>
    <w:rsid w:val="00BE534A"/>
    <w:rsid w:val="00BF6E36"/>
    <w:rsid w:val="00BF7444"/>
    <w:rsid w:val="00C07C3B"/>
    <w:rsid w:val="00C33FC0"/>
    <w:rsid w:val="00C34A41"/>
    <w:rsid w:val="00C42A02"/>
    <w:rsid w:val="00C53626"/>
    <w:rsid w:val="00C54636"/>
    <w:rsid w:val="00C65D20"/>
    <w:rsid w:val="00C71387"/>
    <w:rsid w:val="00C73B00"/>
    <w:rsid w:val="00C84533"/>
    <w:rsid w:val="00C859BC"/>
    <w:rsid w:val="00C877A2"/>
    <w:rsid w:val="00C877BE"/>
    <w:rsid w:val="00C90C3B"/>
    <w:rsid w:val="00C9345D"/>
    <w:rsid w:val="00C9395A"/>
    <w:rsid w:val="00CA3675"/>
    <w:rsid w:val="00CA76EA"/>
    <w:rsid w:val="00CC181F"/>
    <w:rsid w:val="00CC24B1"/>
    <w:rsid w:val="00CC711B"/>
    <w:rsid w:val="00CD269D"/>
    <w:rsid w:val="00CE275B"/>
    <w:rsid w:val="00CE6969"/>
    <w:rsid w:val="00CE78C0"/>
    <w:rsid w:val="00CF5464"/>
    <w:rsid w:val="00D019EB"/>
    <w:rsid w:val="00D22C0E"/>
    <w:rsid w:val="00D231D1"/>
    <w:rsid w:val="00D30DA5"/>
    <w:rsid w:val="00D42D98"/>
    <w:rsid w:val="00D526E6"/>
    <w:rsid w:val="00D5728A"/>
    <w:rsid w:val="00D633E2"/>
    <w:rsid w:val="00D72A03"/>
    <w:rsid w:val="00D865DE"/>
    <w:rsid w:val="00D86A13"/>
    <w:rsid w:val="00D93931"/>
    <w:rsid w:val="00D952F9"/>
    <w:rsid w:val="00DA1CE7"/>
    <w:rsid w:val="00DA275F"/>
    <w:rsid w:val="00DB1673"/>
    <w:rsid w:val="00DB6B55"/>
    <w:rsid w:val="00DC01EB"/>
    <w:rsid w:val="00DD6B74"/>
    <w:rsid w:val="00DD796A"/>
    <w:rsid w:val="00DE05ED"/>
    <w:rsid w:val="00DE29FE"/>
    <w:rsid w:val="00DE507B"/>
    <w:rsid w:val="00E10EF7"/>
    <w:rsid w:val="00E41165"/>
    <w:rsid w:val="00E4135A"/>
    <w:rsid w:val="00E4398A"/>
    <w:rsid w:val="00E53F03"/>
    <w:rsid w:val="00E5478F"/>
    <w:rsid w:val="00E624B0"/>
    <w:rsid w:val="00E64B7F"/>
    <w:rsid w:val="00E65CAA"/>
    <w:rsid w:val="00E72688"/>
    <w:rsid w:val="00E750C1"/>
    <w:rsid w:val="00E8740B"/>
    <w:rsid w:val="00E94079"/>
    <w:rsid w:val="00E958DE"/>
    <w:rsid w:val="00EA2CEE"/>
    <w:rsid w:val="00EA6EC3"/>
    <w:rsid w:val="00EB2F80"/>
    <w:rsid w:val="00EC6403"/>
    <w:rsid w:val="00ED63C4"/>
    <w:rsid w:val="00EE7159"/>
    <w:rsid w:val="00EF07AE"/>
    <w:rsid w:val="00EF09CE"/>
    <w:rsid w:val="00EF7E05"/>
    <w:rsid w:val="00F02CEE"/>
    <w:rsid w:val="00F02EF8"/>
    <w:rsid w:val="00F059CA"/>
    <w:rsid w:val="00F0765E"/>
    <w:rsid w:val="00F14B49"/>
    <w:rsid w:val="00F156B6"/>
    <w:rsid w:val="00F200DE"/>
    <w:rsid w:val="00F24A6D"/>
    <w:rsid w:val="00F44C7B"/>
    <w:rsid w:val="00F4629A"/>
    <w:rsid w:val="00F47C4D"/>
    <w:rsid w:val="00F5712A"/>
    <w:rsid w:val="00F71B8C"/>
    <w:rsid w:val="00F84A5E"/>
    <w:rsid w:val="00FB2A91"/>
    <w:rsid w:val="00FD021C"/>
    <w:rsid w:val="00FD68F3"/>
    <w:rsid w:val="00FE53F7"/>
    <w:rsid w:val="00FE777C"/>
    <w:rsid w:val="00FF7808"/>
    <w:rsid w:val="140B5BA0"/>
    <w:rsid w:val="1C0A38EF"/>
    <w:rsid w:val="2D82752D"/>
    <w:rsid w:val="30CB5670"/>
    <w:rsid w:val="313E358F"/>
    <w:rsid w:val="3A8868DE"/>
    <w:rsid w:val="3E243B2F"/>
    <w:rsid w:val="3EB80365"/>
    <w:rsid w:val="43881090"/>
    <w:rsid w:val="441C3107"/>
    <w:rsid w:val="473E43D8"/>
    <w:rsid w:val="47F4144A"/>
    <w:rsid w:val="48B36FB1"/>
    <w:rsid w:val="4A0E403F"/>
    <w:rsid w:val="4D8C01E2"/>
    <w:rsid w:val="529442DD"/>
    <w:rsid w:val="57143A09"/>
    <w:rsid w:val="5BA84CF6"/>
    <w:rsid w:val="60BE04C3"/>
    <w:rsid w:val="674520B2"/>
    <w:rsid w:val="67B07D2C"/>
    <w:rsid w:val="695D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unhideWhenUsed/>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9"/>
    <w:qFormat/>
    <w:uiPriority w:val="0"/>
    <w:rPr>
      <w:b/>
      <w:bCs/>
    </w:rPr>
  </w:style>
  <w:style w:type="paragraph" w:styleId="6">
    <w:name w:val="annotation text"/>
    <w:basedOn w:val="1"/>
    <w:link w:val="34"/>
    <w:qFormat/>
    <w:uiPriority w:val="99"/>
    <w:pPr>
      <w:jc w:val="left"/>
    </w:pPr>
  </w:style>
  <w:style w:type="paragraph" w:styleId="7">
    <w:name w:val="Document Map"/>
    <w:basedOn w:val="1"/>
    <w:semiHidden/>
    <w:uiPriority w:val="0"/>
    <w:pPr>
      <w:shd w:val="clear" w:color="auto" w:fill="000080"/>
    </w:pPr>
  </w:style>
  <w:style w:type="paragraph" w:styleId="8">
    <w:name w:val="Body Text"/>
    <w:basedOn w:val="1"/>
    <w:qFormat/>
    <w:uiPriority w:val="0"/>
    <w:pPr>
      <w:adjustRightInd w:val="0"/>
      <w:spacing w:line="360" w:lineRule="exact"/>
      <w:jc w:val="center"/>
    </w:pPr>
    <w:rPr>
      <w:rFonts w:ascii="宋体" w:hAnsi="宋体"/>
      <w:sz w:val="32"/>
      <w:szCs w:val="32"/>
    </w:rPr>
  </w:style>
  <w:style w:type="paragraph" w:styleId="9">
    <w:name w:val="Body Text Indent"/>
    <w:basedOn w:val="1"/>
    <w:qFormat/>
    <w:uiPriority w:val="0"/>
    <w:pPr>
      <w:ind w:right="-38" w:firstLine="403" w:firstLineChars="192"/>
    </w:pPr>
    <w:rPr>
      <w:rFonts w:ascii="宋体" w:hAnsi="宋体"/>
    </w:rPr>
  </w:style>
  <w:style w:type="paragraph" w:styleId="10">
    <w:name w:val="Plain Text"/>
    <w:basedOn w:val="1"/>
    <w:link w:val="30"/>
    <w:uiPriority w:val="0"/>
    <w:rPr>
      <w:rFonts w:ascii="宋体" w:hAnsi="Courier New" w:cs="Courier New"/>
      <w:szCs w:val="21"/>
    </w:rPr>
  </w:style>
  <w:style w:type="paragraph" w:styleId="11">
    <w:name w:val="Body Text Indent 2"/>
    <w:basedOn w:val="1"/>
    <w:qFormat/>
    <w:uiPriority w:val="0"/>
    <w:pPr>
      <w:tabs>
        <w:tab w:val="left" w:pos="4320"/>
      </w:tabs>
      <w:ind w:left="8446" w:leftChars="1284" w:hanging="5750"/>
    </w:pPr>
    <w:rPr>
      <w:rFonts w:ascii="宋体"/>
      <w:sz w:val="28"/>
    </w:rPr>
  </w:style>
  <w:style w:type="paragraph" w:styleId="12">
    <w:name w:val="Balloon Text"/>
    <w:basedOn w:val="1"/>
    <w:link w:val="35"/>
    <w:semiHidden/>
    <w:qFormat/>
    <w:uiPriority w:val="0"/>
    <w:rPr>
      <w:sz w:val="18"/>
      <w:szCs w:val="18"/>
    </w:rPr>
  </w:style>
  <w:style w:type="paragraph" w:styleId="13">
    <w:name w:val="footer"/>
    <w:basedOn w:val="1"/>
    <w:link w:val="31"/>
    <w:qFormat/>
    <w:uiPriority w:val="0"/>
    <w:pPr>
      <w:tabs>
        <w:tab w:val="center" w:pos="4153"/>
        <w:tab w:val="right" w:pos="8306"/>
      </w:tabs>
      <w:snapToGrid w:val="0"/>
      <w:jc w:val="left"/>
    </w:pPr>
    <w:rPr>
      <w:sz w:val="18"/>
      <w:szCs w:val="18"/>
    </w:rPr>
  </w:style>
  <w:style w:type="paragraph" w:styleId="14">
    <w:name w:val="header"/>
    <w:basedOn w:val="1"/>
    <w:link w:val="32"/>
    <w:uiPriority w:val="0"/>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27"/>
    <w:qFormat/>
    <w:uiPriority w:val="0"/>
    <w:pPr>
      <w:snapToGrid w:val="0"/>
      <w:jc w:val="left"/>
    </w:pPr>
    <w:rPr>
      <w:sz w:val="18"/>
      <w:szCs w:val="18"/>
    </w:rPr>
  </w:style>
  <w:style w:type="paragraph" w:styleId="16">
    <w:name w:val="Body Text Indent 3"/>
    <w:basedOn w:val="1"/>
    <w:uiPriority w:val="0"/>
    <w:pPr>
      <w:autoSpaceDE w:val="0"/>
      <w:autoSpaceDN w:val="0"/>
      <w:adjustRightInd w:val="0"/>
      <w:spacing w:line="360" w:lineRule="auto"/>
      <w:ind w:firstLine="420" w:firstLineChars="200"/>
    </w:pPr>
    <w:rPr>
      <w:rFonts w:ascii="宋体" w:hAnsi="宋体"/>
    </w:rPr>
  </w:style>
  <w:style w:type="paragraph" w:styleId="17">
    <w:name w:val="Body Text 2"/>
    <w:basedOn w:val="1"/>
    <w:uiPriority w:val="0"/>
    <w:pPr>
      <w:widowControl/>
      <w:jc w:val="left"/>
    </w:pPr>
    <w:rPr>
      <w:rFonts w:ascii="Arial" w:hAnsi="Arial"/>
      <w:color w:val="0000FF"/>
      <w:szCs w:val="28"/>
    </w:rPr>
  </w:style>
  <w:style w:type="paragraph" w:styleId="1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20">
    <w:name w:val="Strong"/>
    <w:qFormat/>
    <w:uiPriority w:val="0"/>
    <w:rPr>
      <w:b/>
      <w:bCs/>
    </w:rPr>
  </w:style>
  <w:style w:type="character" w:styleId="21">
    <w:name w:val="page number"/>
    <w:basedOn w:val="19"/>
    <w:qFormat/>
    <w:uiPriority w:val="0"/>
  </w:style>
  <w:style w:type="character" w:styleId="22">
    <w:name w:val="Hyperlink"/>
    <w:uiPriority w:val="0"/>
    <w:rPr>
      <w:color w:val="0000FF"/>
      <w:u w:val="single"/>
    </w:rPr>
  </w:style>
  <w:style w:type="character" w:styleId="23">
    <w:name w:val="annotation reference"/>
    <w:uiPriority w:val="99"/>
    <w:rPr>
      <w:sz w:val="21"/>
      <w:szCs w:val="21"/>
    </w:rPr>
  </w:style>
  <w:style w:type="character" w:styleId="24">
    <w:name w:val="footnote reference"/>
    <w:qFormat/>
    <w:uiPriority w:val="0"/>
    <w:rPr>
      <w:vertAlign w:val="superscript"/>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脚注文本 Char"/>
    <w:link w:val="15"/>
    <w:qFormat/>
    <w:uiPriority w:val="0"/>
    <w:rPr>
      <w:kern w:val="2"/>
      <w:sz w:val="18"/>
      <w:szCs w:val="18"/>
    </w:rPr>
  </w:style>
  <w:style w:type="character" w:customStyle="1" w:styleId="28">
    <w:name w:val="MTConvertedEquation"/>
    <w:qFormat/>
    <w:uiPriority w:val="0"/>
    <w:rPr>
      <w:spacing w:val="8"/>
      <w:sz w:val="28"/>
      <w:szCs w:val="28"/>
    </w:rPr>
  </w:style>
  <w:style w:type="character" w:customStyle="1" w:styleId="29">
    <w:name w:val="批注主题 Char"/>
    <w:link w:val="5"/>
    <w:uiPriority w:val="0"/>
    <w:rPr>
      <w:b/>
      <w:bCs/>
      <w:kern w:val="2"/>
      <w:sz w:val="21"/>
      <w:szCs w:val="24"/>
    </w:rPr>
  </w:style>
  <w:style w:type="character" w:customStyle="1" w:styleId="30">
    <w:name w:val="纯文本 Char"/>
    <w:link w:val="10"/>
    <w:uiPriority w:val="0"/>
    <w:rPr>
      <w:rFonts w:ascii="宋体" w:hAnsi="Courier New" w:eastAsia="宋体" w:cs="Courier New"/>
      <w:kern w:val="2"/>
      <w:sz w:val="21"/>
      <w:szCs w:val="21"/>
      <w:lang w:val="en-US" w:eastAsia="zh-CN" w:bidi="ar-SA"/>
    </w:rPr>
  </w:style>
  <w:style w:type="character" w:customStyle="1" w:styleId="31">
    <w:name w:val="页脚 Char"/>
    <w:link w:val="13"/>
    <w:qFormat/>
    <w:uiPriority w:val="0"/>
    <w:rPr>
      <w:rFonts w:eastAsia="宋体"/>
      <w:kern w:val="2"/>
      <w:sz w:val="18"/>
      <w:szCs w:val="18"/>
      <w:lang w:val="en-US" w:eastAsia="zh-CN" w:bidi="ar-SA"/>
    </w:rPr>
  </w:style>
  <w:style w:type="character" w:customStyle="1" w:styleId="32">
    <w:name w:val="页眉 Char"/>
    <w:link w:val="14"/>
    <w:locked/>
    <w:uiPriority w:val="0"/>
    <w:rPr>
      <w:rFonts w:eastAsia="宋体"/>
      <w:kern w:val="2"/>
      <w:sz w:val="18"/>
      <w:szCs w:val="18"/>
      <w:lang w:val="en-US" w:eastAsia="zh-CN" w:bidi="ar-SA"/>
    </w:rPr>
  </w:style>
  <w:style w:type="character" w:customStyle="1" w:styleId="33">
    <w:name w:val="标题 1 Char"/>
    <w:link w:val="2"/>
    <w:qFormat/>
    <w:uiPriority w:val="0"/>
    <w:rPr>
      <w:b/>
      <w:bCs/>
      <w:kern w:val="44"/>
      <w:sz w:val="44"/>
      <w:szCs w:val="44"/>
    </w:rPr>
  </w:style>
  <w:style w:type="character" w:customStyle="1" w:styleId="34">
    <w:name w:val="批注文字 Char"/>
    <w:link w:val="6"/>
    <w:qFormat/>
    <w:uiPriority w:val="99"/>
    <w:rPr>
      <w:kern w:val="2"/>
      <w:sz w:val="21"/>
      <w:szCs w:val="24"/>
    </w:rPr>
  </w:style>
  <w:style w:type="character" w:customStyle="1" w:styleId="35">
    <w:name w:val="批注框文本 Char"/>
    <w:link w:val="12"/>
    <w:semiHidden/>
    <w:uiPriority w:val="0"/>
    <w:rPr>
      <w:rFonts w:eastAsia="宋体"/>
      <w:kern w:val="2"/>
      <w:sz w:val="18"/>
      <w:szCs w:val="18"/>
      <w:lang w:val="en-US" w:eastAsia="zh-CN" w:bidi="ar-SA"/>
    </w:rPr>
  </w:style>
  <w:style w:type="paragraph" w:customStyle="1" w:styleId="36">
    <w:name w:val="内文文字"/>
    <w:qFormat/>
    <w:uiPriority w:val="0"/>
    <w:pPr>
      <w:widowControl w:val="0"/>
      <w:autoSpaceDE w:val="0"/>
      <w:autoSpaceDN w:val="0"/>
      <w:adjustRightInd w:val="0"/>
      <w:spacing w:line="290" w:lineRule="atLeast"/>
      <w:ind w:firstLine="397"/>
      <w:jc w:val="both"/>
    </w:pPr>
    <w:rPr>
      <w:rFonts w:hint="eastAsia" w:ascii="汉仪书宋一简" w:hAnsi="Times New Roman" w:eastAsia="汉仪书宋一简" w:cs="Times New Roman"/>
      <w:color w:val="000000"/>
      <w:sz w:val="18"/>
      <w:lang w:val="en-US" w:eastAsia="zh-CN" w:bidi="ar-SA"/>
    </w:rPr>
  </w:style>
  <w:style w:type="paragraph" w:customStyle="1" w:styleId="37">
    <w:name w:val="p0"/>
    <w:basedOn w:val="1"/>
    <w:uiPriority w:val="0"/>
    <w:pPr>
      <w:widowControl/>
    </w:pPr>
    <w:rPr>
      <w:rFonts w:ascii="Calibri" w:hAnsi="Calibri" w:cs="宋体"/>
      <w:kern w:val="0"/>
      <w:szCs w:val="21"/>
    </w:rPr>
  </w:style>
  <w:style w:type="paragraph" w:customStyle="1" w:styleId="38">
    <w:name w:val="Char Char Char Char"/>
    <w:basedOn w:val="1"/>
    <w:qFormat/>
    <w:uiPriority w:val="0"/>
    <w:pPr>
      <w:autoSpaceDE w:val="0"/>
      <w:autoSpaceDN w:val="0"/>
    </w:pPr>
    <w:rPr>
      <w:rFonts w:ascii="Tahoma" w:hAnsi="Tahoma"/>
      <w:sz w:val="24"/>
      <w:szCs w:val="20"/>
    </w:rPr>
  </w:style>
  <w:style w:type="paragraph" w:customStyle="1" w:styleId="39">
    <w:name w:val="默认段落字体 Para Char Char"/>
    <w:basedOn w:val="1"/>
    <w:qFormat/>
    <w:uiPriority w:val="0"/>
  </w:style>
  <w:style w:type="paragraph" w:customStyle="1" w:styleId="40">
    <w:name w:val="Char Char8"/>
    <w:basedOn w:val="1"/>
    <w:qFormat/>
    <w:uiPriority w:val="0"/>
    <w:pPr>
      <w:autoSpaceDE w:val="0"/>
      <w:autoSpaceDN w:val="0"/>
    </w:pPr>
    <w:rPr>
      <w:rFonts w:ascii="Tahoma" w:hAnsi="Tahoma"/>
      <w:sz w:val="24"/>
      <w:szCs w:val="20"/>
    </w:rPr>
  </w:style>
  <w:style w:type="paragraph" w:customStyle="1" w:styleId="41">
    <w:name w:val="列出段落1"/>
    <w:basedOn w:val="1"/>
    <w:qFormat/>
    <w:uiPriority w:val="0"/>
    <w:pPr>
      <w:ind w:firstLine="420" w:firstLineChars="200"/>
    </w:pPr>
    <w:rPr>
      <w:rFonts w:ascii="Calibri" w:hAnsi="Calibri"/>
      <w:szCs w:val="22"/>
    </w:rPr>
  </w:style>
  <w:style w:type="paragraph" w:customStyle="1" w:styleId="42">
    <w:name w:val="Revision"/>
    <w:semiHidden/>
    <w:uiPriority w:val="99"/>
    <w:rPr>
      <w:rFonts w:ascii="Times New Roman" w:hAnsi="Times New Roman" w:eastAsia="宋体" w:cs="Times New Roman"/>
      <w:kern w:val="2"/>
      <w:sz w:val="21"/>
      <w:szCs w:val="24"/>
      <w:lang w:val="en-US" w:eastAsia="zh-CN" w:bidi="ar-SA"/>
    </w:rPr>
  </w:style>
  <w:style w:type="paragraph" w:customStyle="1" w:styleId="43">
    <w:name w:val="Char Char Char Char Char Char Char Char Char Char Char Char1 Char Char Char Char"/>
    <w:basedOn w:val="1"/>
    <w:qFormat/>
    <w:uiPriority w:val="0"/>
    <w:pPr>
      <w:tabs>
        <w:tab w:val="left" w:pos="432"/>
      </w:tabs>
      <w:spacing w:line="400" w:lineRule="exact"/>
      <w:ind w:left="432" w:hanging="432"/>
    </w:pPr>
  </w:style>
  <w:style w:type="paragraph" w:customStyle="1" w:styleId="44">
    <w:name w:val="List Paragraph"/>
    <w:basedOn w:val="1"/>
    <w:qFormat/>
    <w:uiPriority w:val="99"/>
    <w:pPr>
      <w:ind w:firstLine="420" w:firstLineChars="200"/>
    </w:pPr>
  </w:style>
  <w:style w:type="paragraph" w:customStyle="1" w:styleId="45">
    <w:name w:val="Char Char Char Char1"/>
    <w:basedOn w:val="1"/>
    <w:qFormat/>
    <w:uiPriority w:val="0"/>
    <w:pPr>
      <w:autoSpaceDE w:val="0"/>
      <w:autoSpaceDN w:val="0"/>
    </w:pPr>
    <w:rPr>
      <w:rFonts w:ascii="Tahoma" w:hAnsi="Tahoma"/>
      <w:sz w:val="24"/>
      <w:szCs w:val="20"/>
    </w:rPr>
  </w:style>
  <w:style w:type="paragraph" w:customStyle="1" w:styleId="46">
    <w:name w:val="列出段落2"/>
    <w:basedOn w:val="1"/>
    <w:qFormat/>
    <w:uiPriority w:val="0"/>
    <w:pPr>
      <w:ind w:firstLine="420" w:firstLineChars="200"/>
    </w:pPr>
    <w:rPr>
      <w:rFonts w:ascii="Calibri" w:hAnsi="Calibri"/>
      <w:szCs w:val="22"/>
    </w:rPr>
  </w:style>
  <w:style w:type="paragraph" w:customStyle="1" w:styleId="47">
    <w:name w:val="Char Char Char Char Char Char Char Char Char Char Char Char1 Char Char Char Char1"/>
    <w:basedOn w:val="1"/>
    <w:uiPriority w:val="0"/>
    <w:pPr>
      <w:tabs>
        <w:tab w:val="left" w:pos="432"/>
      </w:tabs>
      <w:spacing w:line="400" w:lineRule="exact"/>
      <w:ind w:left="432" w:hanging="432"/>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84"/>
    <customShpInfo spid="_x0000_s209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DFE3D-6936-426D-8CC3-B74C47849A1B}">
  <ds:schemaRefs/>
</ds:datastoreItem>
</file>

<file path=docProps/app.xml><?xml version="1.0" encoding="utf-8"?>
<Properties xmlns="http://schemas.openxmlformats.org/officeDocument/2006/extended-properties" xmlns:vt="http://schemas.openxmlformats.org/officeDocument/2006/docPropsVTypes">
  <Template>wdzx97</Template>
  <Company>NBS</Company>
  <Pages>82</Pages>
  <Words>17551</Words>
  <Characters>100043</Characters>
  <Lines>833</Lines>
  <Paragraphs>234</Paragraphs>
  <TotalTime>0</TotalTime>
  <ScaleCrop>false</ScaleCrop>
  <LinksUpToDate>false</LinksUpToDate>
  <CharactersWithSpaces>117360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2020-11-12T01:35:00Z</dcterms:created>
  <dc:creator>孙庆国(修改)</dc:creator>
  <cp:lastModifiedBy>lenovo</cp:lastModifiedBy>
  <cp:lastPrinted>2020-11-12T06:54:00Z</cp:lastPrinted>
  <dcterms:modified xsi:type="dcterms:W3CDTF">2021-03-09T07:50:13Z</dcterms:modified>
  <dc:title>目    录</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2052-10.8.0.6157</vt:lpwstr>
  </property>
</Properties>
</file>